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D2" w:rsidRDefault="00CF2A1D">
      <w:pPr>
        <w:tabs>
          <w:tab w:val="left" w:pos="3814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Aneksi nr.1 MATRICA STANDARDE E MONITORIMIT DHE RAPORTIMIT TË ZBATIMIT TË PLANIT TE INTEGRITETIT          </w:t>
      </w:r>
      <w:bookmarkStart w:id="0" w:name="_GoBack"/>
      <w:bookmarkEnd w:id="0"/>
    </w:p>
    <w:p w:rsidR="008804D2" w:rsidRDefault="008804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pPr w:leftFromText="180" w:rightFromText="180" w:vertAnchor="page" w:horzAnchor="margin" w:tblpX="-545" w:tblpY="2092"/>
        <w:tblW w:w="151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90"/>
        <w:gridCol w:w="1550"/>
        <w:gridCol w:w="1609"/>
        <w:gridCol w:w="1527"/>
        <w:gridCol w:w="986"/>
        <w:gridCol w:w="1389"/>
        <w:gridCol w:w="1431"/>
        <w:gridCol w:w="1802"/>
        <w:gridCol w:w="1429"/>
        <w:gridCol w:w="1325"/>
      </w:tblGrid>
      <w:tr w:rsidR="008804D2" w:rsidTr="00CF2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7" w:type="dxa"/>
            <w:gridSpan w:val="6"/>
          </w:tcPr>
          <w:p w:rsidR="008804D2" w:rsidRDefault="00CF2A1D" w:rsidP="00CF2A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Të dhënat e Planit të Integritetit</w:t>
            </w:r>
          </w:p>
        </w:tc>
        <w:tc>
          <w:tcPr>
            <w:tcW w:w="7376" w:type="dxa"/>
            <w:gridSpan w:val="5"/>
          </w:tcPr>
          <w:p w:rsidR="008804D2" w:rsidRDefault="00CF2A1D" w:rsidP="00CF2A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Raportimi i zbatimit </w:t>
            </w:r>
          </w:p>
        </w:tc>
      </w:tr>
      <w:tr w:rsidR="008804D2" w:rsidTr="00CF2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804D2" w:rsidRDefault="00CF2A1D" w:rsidP="00CF2A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1390" w:type="dxa"/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Fusha e Rrezikut</w:t>
            </w:r>
          </w:p>
        </w:tc>
        <w:tc>
          <w:tcPr>
            <w:tcW w:w="1550" w:type="dxa"/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Përshkrimi i Rrezikut</w:t>
            </w:r>
          </w:p>
        </w:tc>
        <w:tc>
          <w:tcPr>
            <w:tcW w:w="1609" w:type="dxa"/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Masa e propozuar</w:t>
            </w:r>
          </w:p>
        </w:tc>
        <w:tc>
          <w:tcPr>
            <w:tcW w:w="1527" w:type="dxa"/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Njësia/zyrtari përgjegjës</w:t>
            </w:r>
          </w:p>
        </w:tc>
        <w:tc>
          <w:tcPr>
            <w:tcW w:w="986" w:type="dxa"/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Afati i realizmit</w:t>
            </w:r>
          </w:p>
        </w:tc>
        <w:tc>
          <w:tcPr>
            <w:tcW w:w="1389" w:type="dxa"/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Veprimet e ndërmarra</w:t>
            </w:r>
          </w:p>
        </w:tc>
        <w:tc>
          <w:tcPr>
            <w:tcW w:w="1431" w:type="dxa"/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Niveli i realizmit</w:t>
            </w:r>
          </w:p>
        </w:tc>
        <w:tc>
          <w:tcPr>
            <w:tcW w:w="1802" w:type="dxa"/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Mjetet e verifikimit</w:t>
            </w:r>
          </w:p>
        </w:tc>
        <w:tc>
          <w:tcPr>
            <w:tcW w:w="1429" w:type="dxa"/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Vështirësitë </w:t>
            </w:r>
          </w:p>
        </w:tc>
        <w:tc>
          <w:tcPr>
            <w:tcW w:w="1325" w:type="dxa"/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Rekomandimet</w:t>
            </w:r>
          </w:p>
        </w:tc>
      </w:tr>
      <w:tr w:rsidR="008804D2" w:rsidTr="00CF2A1D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804D2" w:rsidRDefault="00CF2A1D" w:rsidP="00CF2A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Menaxhimi i  burimeve njerëzore</w:t>
            </w:r>
          </w:p>
        </w:tc>
        <w:tc>
          <w:tcPr>
            <w:tcW w:w="1550" w:type="dxa"/>
          </w:tcPr>
          <w:p w:rsidR="008804D2" w:rsidRDefault="00CF2A1D" w:rsidP="00C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7"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Mungesa e rregullores së re</w:t>
            </w:r>
          </w:p>
          <w:p w:rsidR="008804D2" w:rsidRDefault="00CF2A1D" w:rsidP="00C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të brendshme dhe ndarje jo e qartë e funksioneve, përgjegjësive</w:t>
            </w:r>
          </w:p>
          <w:p w:rsidR="008804D2" w:rsidRDefault="008804D2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8804D2" w:rsidRDefault="00CF2A1D" w:rsidP="00CF2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right="2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Miratimi i Rregullores së brendshëm për organizimin dhe sistematizimin e vendeve të punës </w:t>
            </w:r>
          </w:p>
        </w:tc>
        <w:tc>
          <w:tcPr>
            <w:tcW w:w="1527" w:type="dxa"/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Divizioni i burimeve njerëzore </w:t>
            </w:r>
          </w:p>
        </w:tc>
        <w:tc>
          <w:tcPr>
            <w:tcW w:w="986" w:type="dxa"/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89" w:type="dxa"/>
          </w:tcPr>
          <w:p w:rsidR="008804D2" w:rsidRDefault="00CF2A1D" w:rsidP="00CF2A1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Është miratuar  </w:t>
            </w:r>
            <w:r>
              <w:rPr>
                <w:sz w:val="20"/>
                <w:szCs w:val="20"/>
              </w:rPr>
              <w:t xml:space="preserve"> Rregullorja e brendshëm për organizimin dhe sistematizimin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vendeve të punës në MASHTI me datën 02.05.2024.</w:t>
            </w:r>
          </w:p>
          <w:p w:rsidR="008804D2" w:rsidRDefault="008804D2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Realizuar</w:t>
            </w:r>
          </w:p>
        </w:tc>
        <w:tc>
          <w:tcPr>
            <w:tcW w:w="1802" w:type="dxa"/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Rregulloren mund ta gjeni të publikuar  në gazetën zyrtare dhe në ueb faqen e MASHTI-t </w:t>
            </w:r>
          </w:p>
        </w:tc>
        <w:tc>
          <w:tcPr>
            <w:tcW w:w="1429" w:type="dxa"/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Pamundësia e rekrutimit të stafit të ri</w:t>
            </w:r>
          </w:p>
        </w:tc>
        <w:tc>
          <w:tcPr>
            <w:tcW w:w="1325" w:type="dxa"/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Shpallja e pozitave të reja si dhe plotësimi I stafit </w:t>
            </w:r>
          </w:p>
        </w:tc>
      </w:tr>
      <w:tr w:rsidR="008804D2" w:rsidTr="00CF2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tcBorders>
              <w:bottom w:val="single" w:sz="4" w:space="0" w:color="000000"/>
            </w:tcBorders>
          </w:tcPr>
          <w:p w:rsidR="008804D2" w:rsidRDefault="00CF2A1D" w:rsidP="00CF2A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Menaxhimi i  burimeve njerëzore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 w:rsidR="008804D2" w:rsidRDefault="008804D2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Hartimi i kodit të etikës për MASHTI-n</w:t>
            </w:r>
          </w:p>
        </w:tc>
        <w:tc>
          <w:tcPr>
            <w:tcW w:w="1527" w:type="dxa"/>
            <w:tcBorders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Divizioni i burimeve njerëzore</w:t>
            </w:r>
          </w:p>
        </w:tc>
        <w:tc>
          <w:tcPr>
            <w:tcW w:w="986" w:type="dxa"/>
            <w:tcBorders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:rsidR="008804D2" w:rsidRDefault="00CF2A1D" w:rsidP="00CF2A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Është emëruar grupi punues për rregulloren e kodit të etikës me nr. 2/419 të datës 12.03.2024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Në proces 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Vendim i nxjerrë nga zyra e sekretares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Shfuqizimi i </w:t>
            </w:r>
          </w:p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Rregullores (QRK) nr. 0</w:t>
            </w:r>
            <w:r>
              <w:rPr>
                <w:sz w:val="20"/>
                <w:szCs w:val="20"/>
              </w:rPr>
              <w:t xml:space="preserve">4/2015 për Kodin e Mirësjelljes në shërbimin civil të Republikës së Kosovës 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Hartimi i rregullores së re</w:t>
            </w:r>
          </w:p>
        </w:tc>
      </w:tr>
      <w:tr w:rsidR="008804D2" w:rsidTr="00CF2A1D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Menaxhimi i  burimeve njerëzore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Mungesa e ndonjë akti legjislativ lidhur me integritet</w:t>
            </w: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Trajnimi i stafit të MASHTI-t për aspektet e përgjithshme për integritet </w:t>
            </w:r>
          </w:p>
          <w:p w:rsidR="008804D2" w:rsidRDefault="008804D2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Divizioni i burimeve njerëzore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Komunikimi dhe koordinimi përmes MASHTI-IKAP lidhur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me mbajtjen e trajnimeve për integritet 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Në proces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Përmes emalit zyrtar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Mungesa e trajnimeve për integritet </w:t>
            </w:r>
          </w:p>
          <w:p w:rsidR="008804D2" w:rsidRDefault="008804D2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Mbajtja e trajnimeve </w:t>
            </w:r>
          </w:p>
        </w:tc>
      </w:tr>
      <w:tr w:rsidR="008804D2" w:rsidTr="00CF2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Kontrolli dhe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auditimi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Bashkëpunimi jo i duhur në mes të auditorit të brendshëm dhe menaxhmentit për parandalimin e ndonjë shkelje eventuale ligjore.</w:t>
            </w: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Hartimi i Rregullave për dokumentimin e të gjitha transaksioneve dhe aktiviteteve të subjektit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8804D2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Divizioni për buxhet dhe financa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muaj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 dt. 28.03.2024, me vendimin me nr.2/545, është emëruar grupi punues lidhur me Hartimin e Procedurës së Brendshme për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Menaxhim Financiar dhe Kontrollin e Brendshëm për MASHTI.</w:t>
            </w:r>
          </w:p>
          <w:p w:rsidR="008804D2" w:rsidRDefault="00CF2A1D" w:rsidP="00CF2A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Tutje, grupi ka mbajtur dy takime fizike dhe komunikime të shumta dhe është në proces të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draftimit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të dokumentit në fjalë.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njejti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sipas planifikimeve pritet të finalizohet brenda vitit fiskal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Pjesërisht e Realizuar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Pasi që ende është në proces të drafti mit, atëherë në momentin e finalizimit do të bëhet edhe publikimi i tij/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verifikimit.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Duke pas parasysh faktin që, MASHTI aktualisht funksionin me një numër të kufizuar të punëtorëve, 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dërsa të njëjtit kanë detyra të shumta të cilat duhet realizohen në kohë të caktuar, anëtarët e grupit punues janë duke punuar me një ritëm më të ngadalësuar.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Çdo grup punës kur caktohet me akt juridik, ta shton intensitetin e punës edhe pas orarit të rreg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ullt të punës ose gjatë vikendit, me qëllim që grupi punues të mos mungon në takime pune dhe dokumenti të realizohet brenda afatit kohor.</w:t>
            </w:r>
          </w:p>
        </w:tc>
      </w:tr>
      <w:tr w:rsidR="008804D2" w:rsidTr="00CF2A1D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Menaxhimi financiar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Ndarje e jo e drejtë e buxhetit për IAL-të publike</w:t>
            </w: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Hartimi i formulës së financimit të institucioneve publike të arsimit të lartë bazuar në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performancë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DALSh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/Drejtori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DALSh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muaj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Grupi punues është themeluar dhe ka  hartuar Udhëzimin Administrativ për  formulës së financimit të institucioneve publike të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arsimit të lartë bazuar në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performancë</w:t>
            </w:r>
            <w:proofErr w:type="spellEnd"/>
          </w:p>
          <w:p w:rsidR="008804D2" w:rsidRDefault="008804D2" w:rsidP="00CF2A1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 Realizuar</w:t>
            </w:r>
          </w:p>
        </w:tc>
        <w:tc>
          <w:tcPr>
            <w:tcW w:w="1802" w:type="dxa"/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 mund ta gjeni UA: </w:t>
            </w:r>
            <w:r>
              <w:t xml:space="preserve"> </w:t>
            </w: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https://masht.rks-gov.net/udhezim-administrativ-mashti-nr-01-2024-per-financimin-e-institucioneve-publike-te-arsimit-te-larte-bazuar-ne-performance/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Pavarësimi i   Institucioneve të  publike të arsimit të lartë.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Mungesa e stafit të rregullt të zyrtarëve 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 merren me formulën e financimit në MASHTI.</w:t>
            </w:r>
          </w:p>
        </w:tc>
      </w:tr>
      <w:tr w:rsidR="008804D2" w:rsidTr="00CF2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Menaxhimi i kontratave/ projekteve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Dokumentacioni (projekt dizajnë tipik dhe jo të plota për lokacionin dhe me gabime) i mangët për realizim të projekteve</w:t>
            </w: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Punimi dhe revidimi i projekteve për lokacionet konkrete për realizim të projekteve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Divizioni për planifikim dhe standarde të infrastrukturës shkollore ,-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Isuf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Gashi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2024-2026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Janë angazhuar projektues nga kompania për ofrim të shërbimeve profesionale  që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të kryej projekte për 1çerdhe; 2 shkolla; 1renovim 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shkolles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dhe plotësim dhe revidim të projekteve  për 12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project-dizajne</w:t>
            </w:r>
            <w:proofErr w:type="spellEnd"/>
          </w:p>
          <w:p w:rsidR="008804D2" w:rsidRDefault="008804D2" w:rsidP="00CF2A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Në proces  të hartimit të projekteve derisa janë kryer projektimi dhe verifikimi, plotësimi I 9 projekteve </w:t>
            </w:r>
          </w:p>
        </w:tc>
        <w:tc>
          <w:tcPr>
            <w:tcW w:w="1802" w:type="dxa"/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Kontrata në mes të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ASHTI-I dhe kompanisë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Architect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nr.208023021211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Pamundësia e verifikimit të projekteve që vijnë nga komunat për shkak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duplifikimit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të punëve dhe aplikimi I projekteve tipike.</w:t>
            </w:r>
          </w:p>
        </w:tc>
        <w:tc>
          <w:tcPr>
            <w:tcW w:w="1325" w:type="dxa"/>
          </w:tcPr>
          <w:p w:rsidR="008804D2" w:rsidRDefault="00CF2A1D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Rekomandohet Punimi I projekteve detaje për secilin vend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veq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veq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804D2" w:rsidTr="00CF2A1D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8804D2" w:rsidP="00CF2A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8804D2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Mungesa e personelit të brendshëm (</w:t>
            </w:r>
            <w:proofErr w:type="spellStart"/>
            <w:r>
              <w:t>fazista</w:t>
            </w:r>
            <w:proofErr w:type="spellEnd"/>
            <w:r>
              <w:t xml:space="preserve"> të inxhiniereve) për mbikëqyrje dhe menaxhim të secilës faze të ndërtimit të institucioneve arsimore</w:t>
            </w: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Rekrutimi i inxhinierëve për fazat e ndërtimit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fazistat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Divizioni për zbatimin e projektit, Besim </w:t>
            </w:r>
            <w:proofErr w:type="spellStart"/>
            <w:r>
              <w:t>Muharremi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20</w:t>
            </w:r>
            <w:r>
              <w:t>25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Kanë filluar procedurat (kërkesa për publikim) për pranimin e 2 inxhinierëve (zyrtarëve ) dhe kontraktimi I kompanisë mbikëqyrëse të projekteve me të gjithë inxhinierët e fazave të projekteve (</w:t>
            </w:r>
            <w:proofErr w:type="spellStart"/>
            <w:r>
              <w:t>fazistat</w:t>
            </w:r>
            <w:proofErr w:type="spellEnd"/>
            <w:r>
              <w:t>)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Në proces të mbikëqyrjeve të ndërtimit</w:t>
            </w:r>
          </w:p>
        </w:tc>
        <w:tc>
          <w:tcPr>
            <w:tcW w:w="1802" w:type="dxa"/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Kontrata në mes të MASHTI-I dhe kompanisë </w:t>
            </w:r>
            <w:proofErr w:type="spellStart"/>
            <w:r>
              <w:t>Alb</w:t>
            </w:r>
            <w:proofErr w:type="spellEnd"/>
            <w:r>
              <w:t xml:space="preserve"> </w:t>
            </w:r>
            <w:proofErr w:type="spellStart"/>
            <w:r>
              <w:t>Architect</w:t>
            </w:r>
            <w:proofErr w:type="spellEnd"/>
            <w:r>
              <w:t xml:space="preserve"> me nr.208023021211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</w:tcPr>
          <w:p w:rsidR="008804D2" w:rsidRDefault="00CF2A1D" w:rsidP="00C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Vështirësitë me projektet aktuale të kontraktuara më herët         (shkak projektet tipike qe rezulton ne aneks kontrata dhe ndikimi i inflacionit)</w:t>
            </w:r>
          </w:p>
        </w:tc>
        <w:tc>
          <w:tcPr>
            <w:tcW w:w="1325" w:type="dxa"/>
          </w:tcPr>
          <w:p w:rsidR="008804D2" w:rsidRDefault="00CF2A1D" w:rsidP="00CF2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Te iniciohet ne projekte detale për çdo lokacion ku ndërtohet.</w:t>
            </w:r>
          </w:p>
        </w:tc>
      </w:tr>
      <w:tr w:rsidR="008804D2" w:rsidTr="00CF2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tcBorders>
              <w:top w:val="single" w:sz="4" w:space="0" w:color="000000"/>
            </w:tcBorders>
          </w:tcPr>
          <w:p w:rsidR="008804D2" w:rsidRDefault="00CF2A1D" w:rsidP="00CF2A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8804D2" w:rsidRDefault="008804D2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</w:tcBorders>
          </w:tcPr>
          <w:p w:rsidR="008804D2" w:rsidRDefault="008804D2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9" w:type="dxa"/>
            <w:tcBorders>
              <w:top w:val="single" w:sz="4" w:space="0" w:color="000000"/>
            </w:tcBorders>
          </w:tcPr>
          <w:p w:rsidR="008804D2" w:rsidRDefault="008804D2" w:rsidP="00C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</w:tcBorders>
          </w:tcPr>
          <w:p w:rsidR="008804D2" w:rsidRDefault="008804D2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  <w:tcBorders>
              <w:top w:val="single" w:sz="4" w:space="0" w:color="000000"/>
            </w:tcBorders>
          </w:tcPr>
          <w:p w:rsidR="008804D2" w:rsidRDefault="008804D2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9" w:type="dxa"/>
            <w:tcBorders>
              <w:top w:val="single" w:sz="4" w:space="0" w:color="000000"/>
            </w:tcBorders>
          </w:tcPr>
          <w:p w:rsidR="008804D2" w:rsidRDefault="008804D2" w:rsidP="00CF2A1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1" w:type="dxa"/>
            <w:tcBorders>
              <w:top w:val="single" w:sz="4" w:space="0" w:color="000000"/>
            </w:tcBorders>
          </w:tcPr>
          <w:p w:rsidR="008804D2" w:rsidRDefault="008804D2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2" w:type="dxa"/>
          </w:tcPr>
          <w:p w:rsidR="008804D2" w:rsidRDefault="008804D2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9" w:type="dxa"/>
            <w:tcBorders>
              <w:top w:val="single" w:sz="4" w:space="0" w:color="000000"/>
            </w:tcBorders>
          </w:tcPr>
          <w:p w:rsidR="008804D2" w:rsidRDefault="008804D2" w:rsidP="00CF2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:rsidR="008804D2" w:rsidRDefault="008804D2" w:rsidP="00CF2A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804D2" w:rsidRDefault="008804D2">
      <w:pPr>
        <w:tabs>
          <w:tab w:val="left" w:pos="3814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gjdgxs" w:colFirst="0" w:colLast="0"/>
      <w:bookmarkEnd w:id="1"/>
    </w:p>
    <w:sectPr w:rsidR="008804D2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D2"/>
    <w:rsid w:val="008804D2"/>
    <w:rsid w:val="00C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96BE8-5056-403C-B333-9F86C056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sht.rks-gov.net/udhezim-administrativ-mashti-nr-01-2024-per-financimin-e-institucioneve-publike-te-arsimit-te-larte-bazuar-ne-perform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Arianit Krasniqi</cp:lastModifiedBy>
  <cp:revision>2</cp:revision>
  <dcterms:created xsi:type="dcterms:W3CDTF">2024-07-12T09:20:00Z</dcterms:created>
  <dcterms:modified xsi:type="dcterms:W3CDTF">2024-07-12T09:21:00Z</dcterms:modified>
</cp:coreProperties>
</file>