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A3" w:rsidRPr="002E1944" w:rsidRDefault="002E1944" w:rsidP="00147FA3">
      <w:pPr>
        <w:tabs>
          <w:tab w:val="left" w:pos="5008"/>
        </w:tabs>
        <w:jc w:val="both"/>
        <w:rPr>
          <w:rFonts w:ascii="Sylfaen" w:hAnsi="Sylfaen"/>
          <w:b/>
          <w:color w:val="0070C0"/>
          <w:sz w:val="22"/>
          <w:szCs w:val="22"/>
          <w:u w:val="single"/>
          <w:lang w:val="sq-AL"/>
        </w:rPr>
      </w:pPr>
      <w:r w:rsidRPr="002E1944">
        <w:rPr>
          <w:noProof/>
          <w:color w:val="000000" w:themeColor="text1"/>
          <w:sz w:val="22"/>
          <w:szCs w:val="2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F747B2B" wp14:editId="72A5E4BA">
            <wp:simplePos x="0" y="0"/>
            <wp:positionH relativeFrom="margin">
              <wp:posOffset>3590925</wp:posOffset>
            </wp:positionH>
            <wp:positionV relativeFrom="paragraph">
              <wp:posOffset>-201930</wp:posOffset>
            </wp:positionV>
            <wp:extent cx="1066800" cy="104775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FA3" w:rsidRPr="002E1944" w:rsidRDefault="00147FA3" w:rsidP="00147FA3">
      <w:pPr>
        <w:tabs>
          <w:tab w:val="left" w:pos="5008"/>
        </w:tabs>
        <w:jc w:val="both"/>
        <w:rPr>
          <w:rFonts w:ascii="Sylfaen" w:hAnsi="Sylfaen"/>
          <w:b/>
          <w:color w:val="0070C0"/>
          <w:sz w:val="22"/>
          <w:szCs w:val="22"/>
          <w:u w:val="single"/>
          <w:lang w:val="sq-AL"/>
        </w:rPr>
      </w:pPr>
    </w:p>
    <w:p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2E1944" w:rsidRDefault="002E1944" w:rsidP="002E1944">
      <w:pPr>
        <w:spacing w:line="276" w:lineRule="auto"/>
        <w:jc w:val="center"/>
        <w:rPr>
          <w:rFonts w:ascii="Sylfaen" w:eastAsia="Batang" w:hAnsi="Sylfaen"/>
          <w:b/>
          <w:bCs/>
          <w:color w:val="000000" w:themeColor="text1"/>
          <w:sz w:val="22"/>
          <w:szCs w:val="22"/>
          <w:u w:val="single"/>
          <w:lang w:val="sr-Latn-RS"/>
        </w:rPr>
      </w:pPr>
      <w:r w:rsidRPr="002E1944">
        <w:rPr>
          <w:rFonts w:ascii="Sylfaen" w:hAnsi="Sylfaen" w:cs="Book Antiqua"/>
          <w:b/>
          <w:bCs/>
          <w:color w:val="000000" w:themeColor="text1"/>
          <w:sz w:val="22"/>
          <w:szCs w:val="22"/>
          <w:u w:val="single"/>
          <w:lang w:val="sr-Latn-RS"/>
        </w:rPr>
        <w:t>Republika e Kosovës</w:t>
      </w:r>
    </w:p>
    <w:p w:rsidR="002E1944" w:rsidRPr="0040197C" w:rsidRDefault="002E1944" w:rsidP="002E1944">
      <w:pPr>
        <w:spacing w:line="276" w:lineRule="auto"/>
        <w:jc w:val="center"/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</w:pPr>
      <w:r w:rsidRPr="0040197C">
        <w:rPr>
          <w:rFonts w:ascii="Sylfaen" w:eastAsia="Batang" w:hAnsi="Sylfaen" w:cs="Book Antiqua"/>
          <w:b/>
          <w:bCs/>
          <w:sz w:val="22"/>
          <w:szCs w:val="22"/>
          <w:u w:val="single"/>
          <w:lang w:val="sr-Latn-RS"/>
        </w:rPr>
        <w:t>Republika Kosova-</w:t>
      </w:r>
      <w:r w:rsidRPr="0040197C"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  <w:t>Republicof Kosovo</w:t>
      </w:r>
    </w:p>
    <w:p w:rsidR="002E1944" w:rsidRPr="0040197C" w:rsidRDefault="002E1944" w:rsidP="002E1944">
      <w:pPr>
        <w:spacing w:line="276" w:lineRule="auto"/>
        <w:jc w:val="center"/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</w:pPr>
      <w:r w:rsidRPr="0040197C">
        <w:rPr>
          <w:rFonts w:ascii="Sylfaen" w:eastAsiaTheme="majorEastAsia" w:hAnsi="Sylfaen" w:cs="Book Antiqua"/>
          <w:i/>
          <w:iCs/>
          <w:spacing w:val="5"/>
          <w:kern w:val="28"/>
          <w:sz w:val="22"/>
          <w:szCs w:val="22"/>
          <w:u w:val="single"/>
          <w:lang w:val="sr-Latn-RS"/>
        </w:rPr>
        <w:t>Qeveria –Vlada-Government</w:t>
      </w:r>
    </w:p>
    <w:p w:rsidR="00007634" w:rsidRPr="00007634" w:rsidRDefault="003C2C91" w:rsidP="00147FA3">
      <w:pPr>
        <w:tabs>
          <w:tab w:val="left" w:pos="5008"/>
        </w:tabs>
        <w:jc w:val="center"/>
        <w:rPr>
          <w:bCs/>
          <w:i/>
          <w:iCs/>
        </w:rPr>
      </w:pPr>
      <w:proofErr w:type="spellStart"/>
      <w:r>
        <w:rPr>
          <w:bCs/>
          <w:i/>
          <w:iCs/>
        </w:rPr>
        <w:t>Ministria</w:t>
      </w:r>
      <w:proofErr w:type="spellEnd"/>
      <w:r>
        <w:rPr>
          <w:bCs/>
          <w:i/>
          <w:iCs/>
        </w:rPr>
        <w:t xml:space="preserve"> e </w:t>
      </w:r>
      <w:proofErr w:type="spellStart"/>
      <w:r>
        <w:rPr>
          <w:bCs/>
          <w:i/>
          <w:iCs/>
        </w:rPr>
        <w:t>Arsimit</w:t>
      </w:r>
      <w:proofErr w:type="spellEnd"/>
      <w:r>
        <w:rPr>
          <w:bCs/>
          <w:i/>
          <w:iCs/>
        </w:rPr>
        <w:t>,</w:t>
      </w:r>
      <w:r w:rsidR="00007634" w:rsidRPr="00007634">
        <w:rPr>
          <w:bCs/>
          <w:i/>
          <w:iCs/>
        </w:rPr>
        <w:t xml:space="preserve"> </w:t>
      </w:r>
      <w:proofErr w:type="spellStart"/>
      <w:r w:rsidR="00007634" w:rsidRPr="00007634">
        <w:rPr>
          <w:bCs/>
          <w:i/>
          <w:iCs/>
        </w:rPr>
        <w:t>Shkencës</w:t>
      </w:r>
      <w:proofErr w:type="spellEnd"/>
      <w:r>
        <w:rPr>
          <w:bCs/>
          <w:i/>
          <w:iCs/>
        </w:rPr>
        <w:t>,</w:t>
      </w:r>
      <w:r w:rsidR="00007634" w:rsidRPr="00007634">
        <w:rPr>
          <w:bCs/>
          <w:i/>
          <w:iCs/>
        </w:rPr>
        <w:t xml:space="preserve"> </w:t>
      </w:r>
      <w:proofErr w:type="spellStart"/>
      <w:r w:rsidR="00007634" w:rsidRPr="00007634">
        <w:rPr>
          <w:bCs/>
          <w:i/>
          <w:iCs/>
        </w:rPr>
        <w:t>Teknologjisë</w:t>
      </w:r>
      <w:proofErr w:type="spellEnd"/>
      <w:r w:rsidR="00007634" w:rsidRPr="00007634">
        <w:rPr>
          <w:bCs/>
          <w:i/>
          <w:iCs/>
        </w:rPr>
        <w:t xml:space="preserve"> </w:t>
      </w:r>
      <w:proofErr w:type="spellStart"/>
      <w:r w:rsidR="00007634" w:rsidRPr="00007634">
        <w:rPr>
          <w:bCs/>
          <w:i/>
          <w:iCs/>
        </w:rPr>
        <w:t>dhe</w:t>
      </w:r>
      <w:proofErr w:type="spellEnd"/>
      <w:r w:rsidR="00007634" w:rsidRPr="00007634">
        <w:rPr>
          <w:bCs/>
          <w:i/>
          <w:iCs/>
        </w:rPr>
        <w:t xml:space="preserve"> </w:t>
      </w:r>
      <w:proofErr w:type="spellStart"/>
      <w:r w:rsidR="00007634" w:rsidRPr="00007634">
        <w:rPr>
          <w:bCs/>
          <w:i/>
          <w:iCs/>
        </w:rPr>
        <w:t>Inovacionit</w:t>
      </w:r>
      <w:proofErr w:type="spellEnd"/>
      <w:r w:rsidR="00007634" w:rsidRPr="00007634">
        <w:rPr>
          <w:bCs/>
          <w:i/>
          <w:iCs/>
        </w:rPr>
        <w:t xml:space="preserve"> / </w:t>
      </w:r>
    </w:p>
    <w:p w:rsidR="00007634" w:rsidRPr="00007634" w:rsidRDefault="00007634" w:rsidP="00147FA3">
      <w:pPr>
        <w:tabs>
          <w:tab w:val="left" w:pos="5008"/>
        </w:tabs>
        <w:jc w:val="center"/>
        <w:rPr>
          <w:bCs/>
          <w:i/>
          <w:iCs/>
        </w:rPr>
      </w:pPr>
      <w:proofErr w:type="spellStart"/>
      <w:r w:rsidRPr="00007634">
        <w:rPr>
          <w:bCs/>
          <w:i/>
          <w:iCs/>
        </w:rPr>
        <w:t>Ministarstvo</w:t>
      </w:r>
      <w:proofErr w:type="spellEnd"/>
      <w:r w:rsidRPr="00007634">
        <w:rPr>
          <w:bCs/>
          <w:i/>
          <w:iCs/>
        </w:rPr>
        <w:t xml:space="preserve"> </w:t>
      </w:r>
      <w:proofErr w:type="spellStart"/>
      <w:r w:rsidRPr="00007634">
        <w:rPr>
          <w:bCs/>
          <w:i/>
          <w:iCs/>
        </w:rPr>
        <w:t>Obrazovanja</w:t>
      </w:r>
      <w:proofErr w:type="spellEnd"/>
      <w:r w:rsidRPr="00007634">
        <w:rPr>
          <w:bCs/>
          <w:i/>
          <w:iCs/>
        </w:rPr>
        <w:t xml:space="preserve">, </w:t>
      </w:r>
      <w:proofErr w:type="spellStart"/>
      <w:r w:rsidRPr="00007634">
        <w:rPr>
          <w:bCs/>
          <w:i/>
          <w:iCs/>
        </w:rPr>
        <w:t>Nauke</w:t>
      </w:r>
      <w:proofErr w:type="spellEnd"/>
      <w:r w:rsidRPr="00007634">
        <w:rPr>
          <w:bCs/>
          <w:i/>
          <w:iCs/>
        </w:rPr>
        <w:t xml:space="preserve">, </w:t>
      </w:r>
      <w:proofErr w:type="spellStart"/>
      <w:r w:rsidRPr="00007634">
        <w:rPr>
          <w:bCs/>
          <w:i/>
          <w:iCs/>
        </w:rPr>
        <w:t>Tehnologije</w:t>
      </w:r>
      <w:proofErr w:type="spellEnd"/>
      <w:r w:rsidRPr="00007634">
        <w:rPr>
          <w:bCs/>
          <w:i/>
          <w:iCs/>
        </w:rPr>
        <w:t xml:space="preserve"> i </w:t>
      </w:r>
      <w:proofErr w:type="spellStart"/>
      <w:r w:rsidRPr="00007634">
        <w:rPr>
          <w:bCs/>
          <w:i/>
          <w:iCs/>
        </w:rPr>
        <w:t>Inovacije</w:t>
      </w:r>
      <w:proofErr w:type="spellEnd"/>
      <w:r w:rsidRPr="00007634">
        <w:rPr>
          <w:bCs/>
          <w:i/>
          <w:iCs/>
        </w:rPr>
        <w:t xml:space="preserve"> / </w:t>
      </w:r>
    </w:p>
    <w:p w:rsidR="00147FA3" w:rsidRPr="00007634" w:rsidRDefault="00007634" w:rsidP="00147FA3">
      <w:pPr>
        <w:tabs>
          <w:tab w:val="left" w:pos="5008"/>
        </w:tabs>
        <w:jc w:val="center"/>
        <w:rPr>
          <w:i/>
          <w:lang w:val="sq-AL"/>
        </w:rPr>
      </w:pPr>
      <w:r w:rsidRPr="00007634">
        <w:rPr>
          <w:bCs/>
          <w:i/>
          <w:iCs/>
        </w:rPr>
        <w:t>Ministry of Education, Science, Technology and Innovation</w:t>
      </w: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Pr="001205A4" w:rsidRDefault="001205A4" w:rsidP="00147FA3">
      <w:pPr>
        <w:tabs>
          <w:tab w:val="left" w:pos="5008"/>
        </w:tabs>
        <w:jc w:val="right"/>
        <w:rPr>
          <w:b/>
          <w:sz w:val="56"/>
          <w:szCs w:val="56"/>
          <w:shd w:val="clear" w:color="auto" w:fill="BFBFBF" w:themeFill="background1" w:themeFillShade="BF"/>
          <w:lang w:val="sq-AL"/>
        </w:rPr>
      </w:pPr>
    </w:p>
    <w:p w:rsidR="001205A4" w:rsidRPr="001205A4" w:rsidRDefault="001205A4" w:rsidP="00147FA3">
      <w:pPr>
        <w:tabs>
          <w:tab w:val="left" w:pos="5008"/>
        </w:tabs>
        <w:jc w:val="right"/>
        <w:rPr>
          <w:b/>
          <w:sz w:val="48"/>
          <w:szCs w:val="48"/>
          <w:shd w:val="clear" w:color="auto" w:fill="BFBFBF" w:themeFill="background1" w:themeFillShade="BF"/>
          <w:lang w:val="sq-AL"/>
        </w:rPr>
      </w:pPr>
    </w:p>
    <w:p w:rsidR="001205A4" w:rsidRPr="001205A4" w:rsidRDefault="001205A4" w:rsidP="001205A4">
      <w:pPr>
        <w:tabs>
          <w:tab w:val="left" w:pos="5008"/>
        </w:tabs>
        <w:jc w:val="center"/>
        <w:rPr>
          <w:b/>
          <w:sz w:val="56"/>
          <w:szCs w:val="56"/>
          <w:shd w:val="clear" w:color="auto" w:fill="BFBFBF" w:themeFill="background1" w:themeFillShade="BF"/>
          <w:lang w:val="sq-AL"/>
        </w:rPr>
      </w:pPr>
      <w:r w:rsidRPr="001205A4">
        <w:rPr>
          <w:b/>
          <w:sz w:val="48"/>
          <w:szCs w:val="48"/>
          <w:shd w:val="clear" w:color="auto" w:fill="BFBFBF" w:themeFill="background1" w:themeFillShade="BF"/>
          <w:lang w:val="sq-AL"/>
        </w:rPr>
        <w:t xml:space="preserve">Plani Vjetor i </w:t>
      </w:r>
      <w:r w:rsidR="007107BA">
        <w:rPr>
          <w:b/>
          <w:sz w:val="48"/>
          <w:szCs w:val="48"/>
          <w:shd w:val="clear" w:color="auto" w:fill="BFBFBF" w:themeFill="background1" w:themeFillShade="BF"/>
          <w:lang w:val="sq-AL"/>
        </w:rPr>
        <w:t xml:space="preserve">mbështetjes financiare për OJQ-të </w:t>
      </w: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205A4">
      <w:pPr>
        <w:tabs>
          <w:tab w:val="left" w:pos="5008"/>
        </w:tabs>
        <w:jc w:val="center"/>
        <w:rPr>
          <w:b/>
          <w:shd w:val="clear" w:color="auto" w:fill="BFBFBF" w:themeFill="background1" w:themeFillShade="BF"/>
          <w:lang w:val="sq-AL"/>
        </w:rPr>
      </w:pPr>
      <w:r w:rsidRPr="00D541D7">
        <w:rPr>
          <w:b/>
          <w:shd w:val="clear" w:color="auto" w:fill="BFBFBF" w:themeFill="background1" w:themeFillShade="BF"/>
          <w:lang w:val="sq-AL"/>
        </w:rPr>
        <w:t xml:space="preserve">Viti </w:t>
      </w:r>
      <w:r>
        <w:rPr>
          <w:b/>
          <w:shd w:val="clear" w:color="auto" w:fill="BFBFBF" w:themeFill="background1" w:themeFillShade="BF"/>
          <w:lang w:val="sq-AL"/>
        </w:rPr>
        <w:t xml:space="preserve"> 20</w:t>
      </w:r>
      <w:r w:rsidR="0040197C">
        <w:rPr>
          <w:b/>
          <w:shd w:val="clear" w:color="auto" w:fill="BFBFBF" w:themeFill="background1" w:themeFillShade="BF"/>
          <w:lang w:val="sq-AL"/>
        </w:rPr>
        <w:t>2</w:t>
      </w:r>
      <w:r w:rsidR="00376CF3">
        <w:rPr>
          <w:b/>
          <w:shd w:val="clear" w:color="auto" w:fill="BFBFBF" w:themeFill="background1" w:themeFillShade="BF"/>
          <w:lang w:val="sq-AL"/>
        </w:rPr>
        <w:t>4</w:t>
      </w: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2E1944" w:rsidRPr="00D541D7" w:rsidRDefault="002E1944" w:rsidP="00147FA3">
      <w:pPr>
        <w:tabs>
          <w:tab w:val="left" w:pos="5008"/>
        </w:tabs>
        <w:jc w:val="right"/>
        <w:rPr>
          <w:b/>
          <w:lang w:val="sq-AL"/>
        </w:rPr>
      </w:pPr>
    </w:p>
    <w:p w:rsidR="00147FA3" w:rsidRPr="005E3505" w:rsidRDefault="00147FA3" w:rsidP="00147FA3">
      <w:pPr>
        <w:tabs>
          <w:tab w:val="left" w:pos="5008"/>
        </w:tabs>
        <w:jc w:val="center"/>
        <w:rPr>
          <w:b/>
          <w:lang w:val="sq-AL"/>
        </w:rPr>
      </w:pPr>
      <w:r w:rsidRPr="005E3505">
        <w:rPr>
          <w:b/>
          <w:lang w:val="sq-AL"/>
        </w:rPr>
        <w:lastRenderedPageBreak/>
        <w:t>Formular për përgatitjen e Planit Vjetor i Mbështetjes Financiare</w:t>
      </w:r>
      <w:r>
        <w:rPr>
          <w:b/>
          <w:lang w:val="sq-AL"/>
        </w:rPr>
        <w:t xml:space="preserve"> Publike</w:t>
      </w:r>
      <w:r w:rsidRPr="005E3505">
        <w:rPr>
          <w:b/>
          <w:lang w:val="sq-AL"/>
        </w:rPr>
        <w:t xml:space="preserve"> për Organizatat Jo-Qeveritare</w:t>
      </w:r>
    </w:p>
    <w:p w:rsidR="00147FA3" w:rsidRDefault="00147FA3" w:rsidP="00147FA3">
      <w:pPr>
        <w:tabs>
          <w:tab w:val="left" w:pos="5008"/>
        </w:tabs>
        <w:jc w:val="both"/>
        <w:rPr>
          <w:lang w:val="sq-AL"/>
        </w:rPr>
      </w:pPr>
    </w:p>
    <w:tbl>
      <w:tblPr>
        <w:tblW w:w="151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87"/>
        <w:gridCol w:w="1463"/>
        <w:gridCol w:w="2160"/>
        <w:gridCol w:w="3060"/>
        <w:gridCol w:w="1080"/>
        <w:gridCol w:w="1350"/>
        <w:gridCol w:w="1237"/>
        <w:gridCol w:w="1643"/>
        <w:gridCol w:w="900"/>
      </w:tblGrid>
      <w:tr w:rsidR="00147FA3" w:rsidTr="00973092">
        <w:trPr>
          <w:trHeight w:val="2951"/>
        </w:trPr>
        <w:tc>
          <w:tcPr>
            <w:tcW w:w="540" w:type="dxa"/>
            <w:shd w:val="clear" w:color="auto" w:fill="92D050"/>
          </w:tcPr>
          <w:p w:rsidR="00147FA3" w:rsidRDefault="00147FA3" w:rsidP="00AB036D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Nr.</w:t>
            </w:r>
          </w:p>
        </w:tc>
        <w:tc>
          <w:tcPr>
            <w:tcW w:w="1687" w:type="dxa"/>
            <w:shd w:val="clear" w:color="auto" w:fill="92D050"/>
          </w:tcPr>
          <w:p w:rsidR="00147FA3" w:rsidRDefault="00147FA3" w:rsidP="00AB036D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Emri i Institucionit</w:t>
            </w:r>
          </w:p>
        </w:tc>
        <w:tc>
          <w:tcPr>
            <w:tcW w:w="1463" w:type="dxa"/>
            <w:shd w:val="clear" w:color="auto" w:fill="92D050"/>
          </w:tcPr>
          <w:p w:rsidR="00147FA3" w:rsidRDefault="008B608E" w:rsidP="00AB036D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 xml:space="preserve">Kodi buxhetor/ </w:t>
            </w:r>
            <w:r w:rsidR="00147FA3">
              <w:rPr>
                <w:lang w:val="sq-AL"/>
              </w:rPr>
              <w:t>Programi</w:t>
            </w:r>
            <w:r>
              <w:rPr>
                <w:lang w:val="sq-AL"/>
              </w:rPr>
              <w:t>/</w:t>
            </w:r>
            <w:proofErr w:type="spellStart"/>
            <w:r>
              <w:rPr>
                <w:lang w:val="sq-AL"/>
              </w:rPr>
              <w:t>nenprogrami</w:t>
            </w:r>
            <w:proofErr w:type="spellEnd"/>
          </w:p>
        </w:tc>
        <w:tc>
          <w:tcPr>
            <w:tcW w:w="2160" w:type="dxa"/>
            <w:shd w:val="clear" w:color="auto" w:fill="92D050"/>
          </w:tcPr>
          <w:p w:rsidR="00147FA3" w:rsidRDefault="00147FA3" w:rsidP="00AB036D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Fusha/fushat në të cilat ofrohet mbështetja financiare</w:t>
            </w:r>
          </w:p>
        </w:tc>
        <w:tc>
          <w:tcPr>
            <w:tcW w:w="3060" w:type="dxa"/>
            <w:shd w:val="clear" w:color="auto" w:fill="92D050"/>
          </w:tcPr>
          <w:p w:rsidR="00147FA3" w:rsidRDefault="00147FA3" w:rsidP="00AB036D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Objektivat e përkrahjes financiare</w:t>
            </w:r>
          </w:p>
        </w:tc>
        <w:tc>
          <w:tcPr>
            <w:tcW w:w="1080" w:type="dxa"/>
            <w:shd w:val="clear" w:color="auto" w:fill="92D050"/>
          </w:tcPr>
          <w:p w:rsidR="00147FA3" w:rsidRDefault="00147FA3" w:rsidP="00AB036D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Numri i përafërt i organizatave që do të përzgjidhen</w:t>
            </w:r>
          </w:p>
        </w:tc>
        <w:tc>
          <w:tcPr>
            <w:tcW w:w="1350" w:type="dxa"/>
            <w:shd w:val="clear" w:color="auto" w:fill="92D050"/>
          </w:tcPr>
          <w:p w:rsidR="00147FA3" w:rsidRDefault="00147FA3" w:rsidP="00AB036D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Shuma e mbështetjes financiare për vitin fiskal</w:t>
            </w:r>
          </w:p>
        </w:tc>
        <w:tc>
          <w:tcPr>
            <w:tcW w:w="1237" w:type="dxa"/>
            <w:shd w:val="clear" w:color="auto" w:fill="92D050"/>
          </w:tcPr>
          <w:p w:rsidR="00147FA3" w:rsidRDefault="00147FA3" w:rsidP="00AB036D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Koha e shpalljes së thirrjes</w:t>
            </w:r>
          </w:p>
        </w:tc>
        <w:tc>
          <w:tcPr>
            <w:tcW w:w="1643" w:type="dxa"/>
            <w:shd w:val="clear" w:color="auto" w:fill="92D050"/>
          </w:tcPr>
          <w:p w:rsidR="00147FA3" w:rsidRDefault="00147FA3" w:rsidP="00AB036D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Koha kur pritet të filloj implementimi i projekteve/programeve</w:t>
            </w:r>
          </w:p>
        </w:tc>
        <w:tc>
          <w:tcPr>
            <w:tcW w:w="900" w:type="dxa"/>
            <w:shd w:val="clear" w:color="auto" w:fill="92D050"/>
          </w:tcPr>
          <w:p w:rsidR="00147FA3" w:rsidRDefault="00147FA3" w:rsidP="00AB036D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Informata tjera XXX</w:t>
            </w:r>
          </w:p>
        </w:tc>
      </w:tr>
      <w:tr w:rsidR="003E12DE" w:rsidTr="00973092">
        <w:trPr>
          <w:trHeight w:val="890"/>
        </w:trPr>
        <w:tc>
          <w:tcPr>
            <w:tcW w:w="540" w:type="dxa"/>
          </w:tcPr>
          <w:p w:rsidR="003E12DE" w:rsidRPr="005E3505" w:rsidRDefault="003E12DE" w:rsidP="003E12DE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1.</w:t>
            </w:r>
          </w:p>
        </w:tc>
        <w:tc>
          <w:tcPr>
            <w:tcW w:w="1687" w:type="dxa"/>
          </w:tcPr>
          <w:p w:rsidR="003E12DE" w:rsidRPr="005E3505" w:rsidRDefault="003E12DE" w:rsidP="003E12DE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 w:rsidRPr="00595758">
              <w:rPr>
                <w:i/>
                <w:lang w:val="sq-AL"/>
              </w:rPr>
              <w:t>M</w:t>
            </w:r>
            <w:r>
              <w:rPr>
                <w:i/>
                <w:lang w:val="sq-AL"/>
              </w:rPr>
              <w:t>inistria e Arsimit, Shkencës,</w:t>
            </w:r>
            <w:r w:rsidRPr="00595758">
              <w:rPr>
                <w:i/>
                <w:lang w:val="sq-AL"/>
              </w:rPr>
              <w:t xml:space="preserve"> Teknologjisë</w:t>
            </w:r>
            <w:r>
              <w:rPr>
                <w:i/>
                <w:lang w:val="sq-AL"/>
              </w:rPr>
              <w:t xml:space="preserve"> dhe Inovacionit</w:t>
            </w:r>
          </w:p>
        </w:tc>
        <w:tc>
          <w:tcPr>
            <w:tcW w:w="1463" w:type="dxa"/>
          </w:tcPr>
          <w:p w:rsidR="003E12DE" w:rsidRPr="003E12DE" w:rsidRDefault="003E12DE" w:rsidP="003E12DE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3E12DE">
              <w:rPr>
                <w:i/>
                <w:lang w:val="sq-AL"/>
              </w:rPr>
              <w:t xml:space="preserve">98300 </w:t>
            </w:r>
          </w:p>
          <w:p w:rsidR="003E12DE" w:rsidRPr="003E12DE" w:rsidRDefault="003E12DE" w:rsidP="003E12DE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3E12DE">
              <w:rPr>
                <w:i/>
                <w:lang w:val="sq-AL"/>
              </w:rPr>
              <w:t>Përkrahja e nxënësve me potencial të jashtëzakonshëm</w:t>
            </w:r>
          </w:p>
        </w:tc>
        <w:tc>
          <w:tcPr>
            <w:tcW w:w="2160" w:type="dxa"/>
          </w:tcPr>
          <w:p w:rsidR="003E12DE" w:rsidRPr="003E12DE" w:rsidRDefault="003E12DE" w:rsidP="003E12DE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3E12DE">
              <w:rPr>
                <w:i/>
                <w:lang w:val="sq-AL"/>
              </w:rPr>
              <w:t>Përkrahje për fëmijët me inteligjence te jashtëzakonshme, talent dhe dhunti</w:t>
            </w:r>
          </w:p>
        </w:tc>
        <w:tc>
          <w:tcPr>
            <w:tcW w:w="3060" w:type="dxa"/>
          </w:tcPr>
          <w:p w:rsidR="003E12DE" w:rsidRPr="003E12DE" w:rsidRDefault="003E12DE" w:rsidP="003E12DE">
            <w:pPr>
              <w:pStyle w:val="ListParagraph"/>
              <w:tabs>
                <w:tab w:val="left" w:pos="5008"/>
              </w:tabs>
              <w:rPr>
                <w:i/>
                <w:lang w:val="sq-AL"/>
              </w:rPr>
            </w:pPr>
            <w:r w:rsidRPr="003E12DE">
              <w:rPr>
                <w:i/>
                <w:lang w:val="sq-AL"/>
              </w:rPr>
              <w:t>Mbështetje për zhvillimin e potencialit të fëmijëve me inteligjencë të jashtëzakonshme, talent dhe dhunti.</w:t>
            </w:r>
          </w:p>
          <w:p w:rsidR="003E12DE" w:rsidRPr="003E12DE" w:rsidRDefault="003E12DE" w:rsidP="003E12DE">
            <w:pPr>
              <w:tabs>
                <w:tab w:val="left" w:pos="5008"/>
              </w:tabs>
              <w:rPr>
                <w:i/>
                <w:lang w:val="sq-AL"/>
              </w:rPr>
            </w:pPr>
          </w:p>
        </w:tc>
        <w:tc>
          <w:tcPr>
            <w:tcW w:w="1080" w:type="dxa"/>
          </w:tcPr>
          <w:p w:rsidR="003E12DE" w:rsidRPr="003E12DE" w:rsidRDefault="003E12DE" w:rsidP="003E12DE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3E12DE">
              <w:rPr>
                <w:i/>
                <w:lang w:val="sq-AL"/>
              </w:rPr>
              <w:t>8 deri në 10 organizata që merren ngushtë me fushën e fëmijëve me inteligjencë të jashtëzakonshme, talent dhe dhunti.</w:t>
            </w:r>
          </w:p>
        </w:tc>
        <w:tc>
          <w:tcPr>
            <w:tcW w:w="1350" w:type="dxa"/>
          </w:tcPr>
          <w:p w:rsidR="003E12DE" w:rsidRPr="003E12DE" w:rsidRDefault="003E12DE" w:rsidP="0014786B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3E12DE">
              <w:rPr>
                <w:i/>
                <w:lang w:val="sq-AL"/>
              </w:rPr>
              <w:t>1</w:t>
            </w:r>
            <w:r w:rsidR="0014786B">
              <w:rPr>
                <w:i/>
                <w:lang w:val="sq-AL"/>
              </w:rPr>
              <w:t>5</w:t>
            </w:r>
            <w:r w:rsidRPr="003E12DE">
              <w:rPr>
                <w:i/>
                <w:lang w:val="sq-AL"/>
              </w:rPr>
              <w:t xml:space="preserve">0,000,00 </w:t>
            </w:r>
          </w:p>
        </w:tc>
        <w:tc>
          <w:tcPr>
            <w:tcW w:w="1237" w:type="dxa"/>
          </w:tcPr>
          <w:p w:rsidR="003E12DE" w:rsidRPr="003E12DE" w:rsidRDefault="003E12DE" w:rsidP="003E12DE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3E12DE">
              <w:rPr>
                <w:i/>
                <w:lang w:val="sq-AL"/>
              </w:rPr>
              <w:t>Qershor</w:t>
            </w:r>
            <w:r>
              <w:rPr>
                <w:i/>
                <w:lang w:val="sq-AL"/>
              </w:rPr>
              <w:t xml:space="preserve"> 2024</w:t>
            </w:r>
            <w:bookmarkStart w:id="0" w:name="_GoBack"/>
            <w:bookmarkEnd w:id="0"/>
          </w:p>
        </w:tc>
        <w:tc>
          <w:tcPr>
            <w:tcW w:w="1643" w:type="dxa"/>
          </w:tcPr>
          <w:p w:rsidR="003E12DE" w:rsidRPr="003E12DE" w:rsidRDefault="003E12DE" w:rsidP="003E12DE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3E12DE">
              <w:rPr>
                <w:i/>
                <w:lang w:val="sq-AL"/>
              </w:rPr>
              <w:t>Shtator</w:t>
            </w:r>
            <w:r>
              <w:rPr>
                <w:i/>
                <w:lang w:val="sq-AL"/>
              </w:rPr>
              <w:t xml:space="preserve">            2024</w:t>
            </w:r>
            <w:r w:rsidRPr="003E12DE">
              <w:rPr>
                <w:i/>
                <w:lang w:val="sq-AL"/>
              </w:rPr>
              <w:t xml:space="preserve"> </w:t>
            </w:r>
          </w:p>
        </w:tc>
        <w:tc>
          <w:tcPr>
            <w:tcW w:w="900" w:type="dxa"/>
          </w:tcPr>
          <w:p w:rsidR="003E12DE" w:rsidRPr="005E3505" w:rsidRDefault="003E12DE" w:rsidP="003E12DE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proofErr w:type="spellStart"/>
            <w:r w:rsidRPr="005E3505">
              <w:rPr>
                <w:i/>
                <w:highlight w:val="lightGray"/>
                <w:lang w:val="sq-AL"/>
              </w:rPr>
              <w:t>xxx</w:t>
            </w:r>
            <w:proofErr w:type="spellEnd"/>
          </w:p>
        </w:tc>
      </w:tr>
    </w:tbl>
    <w:p w:rsidR="00147FA3" w:rsidRDefault="00147FA3" w:rsidP="00147FA3">
      <w:pPr>
        <w:tabs>
          <w:tab w:val="left" w:pos="5008"/>
        </w:tabs>
        <w:jc w:val="both"/>
        <w:rPr>
          <w:lang w:val="sq-AL"/>
        </w:rPr>
      </w:pPr>
    </w:p>
    <w:p w:rsidR="00147FA3" w:rsidRDefault="00147FA3" w:rsidP="00147FA3"/>
    <w:tbl>
      <w:tblPr>
        <w:tblW w:w="151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87"/>
        <w:gridCol w:w="1643"/>
        <w:gridCol w:w="1980"/>
        <w:gridCol w:w="3150"/>
        <w:gridCol w:w="990"/>
        <w:gridCol w:w="1350"/>
        <w:gridCol w:w="1237"/>
        <w:gridCol w:w="1643"/>
        <w:gridCol w:w="900"/>
      </w:tblGrid>
      <w:tr w:rsidR="00376CF3" w:rsidRPr="003C19B1" w:rsidTr="00973092">
        <w:trPr>
          <w:trHeight w:val="890"/>
        </w:trPr>
        <w:tc>
          <w:tcPr>
            <w:tcW w:w="540" w:type="dxa"/>
          </w:tcPr>
          <w:p w:rsidR="00376CF3" w:rsidRPr="003C19B1" w:rsidRDefault="00376CF3" w:rsidP="00376CF3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lastRenderedPageBreak/>
              <w:t>2.</w:t>
            </w:r>
          </w:p>
        </w:tc>
        <w:tc>
          <w:tcPr>
            <w:tcW w:w="1687" w:type="dxa"/>
          </w:tcPr>
          <w:p w:rsidR="00376CF3" w:rsidRPr="003C19B1" w:rsidRDefault="00376CF3" w:rsidP="00376CF3">
            <w:pPr>
              <w:rPr>
                <w:i/>
                <w:highlight w:val="lightGray"/>
              </w:rPr>
            </w:pPr>
            <w:r w:rsidRPr="003C19B1">
              <w:rPr>
                <w:i/>
                <w:lang w:val="sq-AL"/>
              </w:rPr>
              <w:t>Ministria e Arsimit, Shkencës, Teknologjisë dhe Inovacionit</w:t>
            </w:r>
          </w:p>
        </w:tc>
        <w:tc>
          <w:tcPr>
            <w:tcW w:w="1643" w:type="dxa"/>
          </w:tcPr>
          <w:p w:rsidR="00376CF3" w:rsidRDefault="00376CF3" w:rsidP="00376CF3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3C19B1">
              <w:rPr>
                <w:i/>
                <w:lang w:val="sq-AL"/>
              </w:rPr>
              <w:t xml:space="preserve">11308 </w:t>
            </w:r>
            <w:r w:rsidRPr="00B606B5">
              <w:rPr>
                <w:i/>
                <w:lang w:val="sq-AL"/>
              </w:rPr>
              <w:t>Administrata Qendrore</w:t>
            </w:r>
            <w:r>
              <w:rPr>
                <w:i/>
                <w:lang w:val="sq-AL"/>
              </w:rPr>
              <w:t xml:space="preserve"> </w:t>
            </w:r>
          </w:p>
          <w:p w:rsidR="00376CF3" w:rsidRPr="003C19B1" w:rsidRDefault="00376CF3" w:rsidP="00376CF3">
            <w:pPr>
              <w:tabs>
                <w:tab w:val="left" w:pos="5008"/>
              </w:tabs>
              <w:rPr>
                <w:i/>
                <w:lang w:val="sq-AL"/>
              </w:rPr>
            </w:pPr>
          </w:p>
          <w:p w:rsidR="00376CF3" w:rsidRPr="003C19B1" w:rsidRDefault="00376CF3" w:rsidP="00376CF3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</w:p>
        </w:tc>
        <w:tc>
          <w:tcPr>
            <w:tcW w:w="1980" w:type="dxa"/>
          </w:tcPr>
          <w:p w:rsidR="00376CF3" w:rsidRPr="003C19B1" w:rsidRDefault="00376CF3" w:rsidP="00376CF3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 w:rsidRPr="001A5882">
              <w:rPr>
                <w:i/>
                <w:lang w:val="sq-AL"/>
              </w:rPr>
              <w:t xml:space="preserve">Përmirësimi i rezultateve të </w:t>
            </w:r>
            <w:proofErr w:type="spellStart"/>
            <w:r w:rsidRPr="001A5882">
              <w:rPr>
                <w:i/>
                <w:lang w:val="sq-AL"/>
              </w:rPr>
              <w:t>të</w:t>
            </w:r>
            <w:proofErr w:type="spellEnd"/>
            <w:r w:rsidRPr="001A5882">
              <w:rPr>
                <w:i/>
                <w:lang w:val="sq-AL"/>
              </w:rPr>
              <w:t xml:space="preserve"> nxënit dhe pjesëmarrjes në arsimin </w:t>
            </w:r>
            <w:proofErr w:type="spellStart"/>
            <w:r w:rsidRPr="001A5882">
              <w:rPr>
                <w:i/>
                <w:lang w:val="sq-AL"/>
              </w:rPr>
              <w:t>parafillor</w:t>
            </w:r>
            <w:proofErr w:type="spellEnd"/>
            <w:r w:rsidRPr="001A5882">
              <w:rPr>
                <w:i/>
                <w:lang w:val="sq-AL"/>
              </w:rPr>
              <w:t xml:space="preserve">, fillor dhe të mesëm të ulët, përmes mësimit plotësues dhe mbështetjes për nxënësit rom, </w:t>
            </w:r>
            <w:proofErr w:type="spellStart"/>
            <w:r w:rsidRPr="001A5882">
              <w:rPr>
                <w:i/>
                <w:lang w:val="sq-AL"/>
              </w:rPr>
              <w:t>ashkali</w:t>
            </w:r>
            <w:proofErr w:type="spellEnd"/>
            <w:r w:rsidRPr="001A5882">
              <w:rPr>
                <w:i/>
                <w:lang w:val="sq-AL"/>
              </w:rPr>
              <w:t xml:space="preserve"> egjiptian dhe të tjerë përmes qendrave mësimore</w:t>
            </w:r>
          </w:p>
        </w:tc>
        <w:tc>
          <w:tcPr>
            <w:tcW w:w="3150" w:type="dxa"/>
          </w:tcPr>
          <w:p w:rsidR="00376CF3" w:rsidRPr="00973092" w:rsidRDefault="00376CF3" w:rsidP="00376CF3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973092">
              <w:rPr>
                <w:i/>
                <w:lang w:val="sq-AL"/>
              </w:rPr>
              <w:t xml:space="preserve">Aktivitete mbështetëse arsimore për nxënësit rom, </w:t>
            </w:r>
            <w:proofErr w:type="spellStart"/>
            <w:r w:rsidRPr="00973092">
              <w:rPr>
                <w:i/>
                <w:lang w:val="sq-AL"/>
              </w:rPr>
              <w:t>ashkali</w:t>
            </w:r>
            <w:proofErr w:type="spellEnd"/>
            <w:r w:rsidRPr="00973092">
              <w:rPr>
                <w:i/>
                <w:lang w:val="sq-AL"/>
              </w:rPr>
              <w:t xml:space="preserve">, egjiptian dhe të tjerë në arsimin </w:t>
            </w:r>
            <w:proofErr w:type="spellStart"/>
            <w:r w:rsidRPr="00973092">
              <w:rPr>
                <w:i/>
                <w:lang w:val="sq-AL"/>
              </w:rPr>
              <w:t>parauniversitar</w:t>
            </w:r>
            <w:proofErr w:type="spellEnd"/>
          </w:p>
          <w:p w:rsidR="00376CF3" w:rsidRPr="00973092" w:rsidRDefault="00376CF3" w:rsidP="00376CF3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973092">
              <w:rPr>
                <w:i/>
                <w:color w:val="548DD4" w:themeColor="text2" w:themeTint="99"/>
                <w:lang w:val="sq-AL"/>
              </w:rPr>
              <w:tab/>
            </w:r>
          </w:p>
          <w:p w:rsidR="00376CF3" w:rsidRPr="00973092" w:rsidRDefault="00376CF3" w:rsidP="00376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proofErr w:type="spellStart"/>
            <w:r w:rsidRPr="00973092">
              <w:rPr>
                <w:i/>
                <w:color w:val="000000"/>
              </w:rPr>
              <w:t>Ngritja</w:t>
            </w:r>
            <w:proofErr w:type="spellEnd"/>
            <w:r w:rsidRPr="00973092">
              <w:rPr>
                <w:i/>
                <w:color w:val="000000"/>
              </w:rPr>
              <w:t xml:space="preserve"> e </w:t>
            </w:r>
            <w:proofErr w:type="spellStart"/>
            <w:r w:rsidRPr="00973092">
              <w:rPr>
                <w:i/>
                <w:color w:val="000000"/>
              </w:rPr>
              <w:t>kapaciteteve</w:t>
            </w:r>
            <w:proofErr w:type="spellEnd"/>
            <w:r w:rsidRPr="00973092">
              <w:rPr>
                <w:i/>
                <w:color w:val="000000"/>
              </w:rPr>
              <w:t xml:space="preserve"> të </w:t>
            </w:r>
            <w:proofErr w:type="spellStart"/>
            <w:r w:rsidRPr="00973092">
              <w:rPr>
                <w:i/>
                <w:color w:val="000000"/>
              </w:rPr>
              <w:t>stafit</w:t>
            </w:r>
            <w:proofErr w:type="spellEnd"/>
            <w:r w:rsidRPr="00973092">
              <w:rPr>
                <w:i/>
                <w:color w:val="000000"/>
              </w:rPr>
              <w:t xml:space="preserve"> të </w:t>
            </w:r>
            <w:proofErr w:type="spellStart"/>
            <w:r w:rsidRPr="00973092">
              <w:rPr>
                <w:i/>
                <w:color w:val="000000"/>
              </w:rPr>
              <w:t>qendrës</w:t>
            </w:r>
            <w:proofErr w:type="spellEnd"/>
            <w:r w:rsidRPr="00973092">
              <w:rPr>
                <w:i/>
                <w:color w:val="000000"/>
              </w:rPr>
              <w:t xml:space="preserve"> </w:t>
            </w:r>
            <w:proofErr w:type="spellStart"/>
            <w:r w:rsidRPr="00973092">
              <w:rPr>
                <w:i/>
                <w:color w:val="000000"/>
              </w:rPr>
              <w:t>mësimore</w:t>
            </w:r>
            <w:proofErr w:type="spellEnd"/>
            <w:r w:rsidRPr="00973092">
              <w:rPr>
                <w:i/>
                <w:color w:val="000000"/>
              </w:rPr>
              <w:t xml:space="preserve"> për të </w:t>
            </w:r>
            <w:proofErr w:type="spellStart"/>
            <w:r w:rsidRPr="00973092">
              <w:rPr>
                <w:i/>
                <w:color w:val="000000"/>
              </w:rPr>
              <w:t>mbështetur</w:t>
            </w:r>
            <w:proofErr w:type="spellEnd"/>
            <w:r w:rsidRPr="00973092">
              <w:rPr>
                <w:i/>
                <w:color w:val="000000"/>
              </w:rPr>
              <w:t xml:space="preserve"> </w:t>
            </w:r>
            <w:proofErr w:type="spellStart"/>
            <w:r w:rsidRPr="00973092">
              <w:rPr>
                <w:i/>
                <w:color w:val="000000"/>
              </w:rPr>
              <w:t>nxënësit</w:t>
            </w:r>
            <w:proofErr w:type="spellEnd"/>
            <w:r w:rsidRPr="00973092">
              <w:rPr>
                <w:i/>
                <w:color w:val="000000"/>
              </w:rPr>
              <w:t xml:space="preserve"> </w:t>
            </w:r>
            <w:proofErr w:type="spellStart"/>
            <w:r w:rsidRPr="00973092">
              <w:rPr>
                <w:i/>
                <w:color w:val="000000"/>
              </w:rPr>
              <w:t>romë</w:t>
            </w:r>
            <w:proofErr w:type="spellEnd"/>
            <w:r w:rsidRPr="00973092">
              <w:rPr>
                <w:i/>
                <w:color w:val="000000"/>
              </w:rPr>
              <w:t xml:space="preserve">, </w:t>
            </w:r>
            <w:proofErr w:type="spellStart"/>
            <w:r w:rsidRPr="00973092">
              <w:rPr>
                <w:i/>
                <w:color w:val="000000"/>
              </w:rPr>
              <w:t>ashkali</w:t>
            </w:r>
            <w:proofErr w:type="spellEnd"/>
            <w:r w:rsidRPr="00973092">
              <w:rPr>
                <w:i/>
                <w:color w:val="000000"/>
              </w:rPr>
              <w:t xml:space="preserve">, </w:t>
            </w:r>
            <w:proofErr w:type="spellStart"/>
            <w:r w:rsidRPr="00973092">
              <w:rPr>
                <w:i/>
                <w:color w:val="000000"/>
              </w:rPr>
              <w:t>egjiptianë</w:t>
            </w:r>
            <w:proofErr w:type="spellEnd"/>
            <w:r w:rsidRPr="00973092">
              <w:rPr>
                <w:i/>
                <w:color w:val="000000"/>
              </w:rPr>
              <w:t xml:space="preserve"> </w:t>
            </w:r>
            <w:proofErr w:type="spellStart"/>
            <w:r w:rsidRPr="00973092">
              <w:rPr>
                <w:i/>
                <w:color w:val="000000"/>
              </w:rPr>
              <w:t>dhe</w:t>
            </w:r>
            <w:proofErr w:type="spellEnd"/>
            <w:r w:rsidRPr="00973092">
              <w:rPr>
                <w:i/>
                <w:color w:val="000000"/>
              </w:rPr>
              <w:t xml:space="preserve"> të </w:t>
            </w:r>
            <w:proofErr w:type="spellStart"/>
            <w:r w:rsidRPr="00973092">
              <w:rPr>
                <w:i/>
                <w:color w:val="000000"/>
              </w:rPr>
              <w:t>tjerë</w:t>
            </w:r>
            <w:proofErr w:type="spellEnd"/>
          </w:p>
          <w:p w:rsidR="00376CF3" w:rsidRPr="00973092" w:rsidRDefault="00376CF3" w:rsidP="00376CF3">
            <w:pPr>
              <w:tabs>
                <w:tab w:val="left" w:pos="5008"/>
              </w:tabs>
              <w:rPr>
                <w:i/>
                <w:color w:val="548DD4" w:themeColor="text2" w:themeTint="99"/>
                <w:lang w:val="sq-AL"/>
              </w:rPr>
            </w:pPr>
          </w:p>
          <w:p w:rsidR="00376CF3" w:rsidRPr="00973092" w:rsidRDefault="00376CF3" w:rsidP="00376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proofErr w:type="spellStart"/>
            <w:r w:rsidRPr="00973092">
              <w:rPr>
                <w:i/>
                <w:color w:val="000000"/>
              </w:rPr>
              <w:t>Ndërgjegjësimi</w:t>
            </w:r>
            <w:proofErr w:type="spellEnd"/>
            <w:r w:rsidRPr="00973092">
              <w:rPr>
                <w:i/>
                <w:color w:val="000000"/>
              </w:rPr>
              <w:t xml:space="preserve"> i </w:t>
            </w:r>
            <w:proofErr w:type="spellStart"/>
            <w:r w:rsidRPr="00973092">
              <w:rPr>
                <w:i/>
                <w:color w:val="000000"/>
              </w:rPr>
              <w:t>prindërve</w:t>
            </w:r>
            <w:proofErr w:type="spellEnd"/>
            <w:r w:rsidRPr="00973092">
              <w:rPr>
                <w:i/>
                <w:color w:val="000000"/>
              </w:rPr>
              <w:t xml:space="preserve"> për </w:t>
            </w:r>
            <w:proofErr w:type="spellStart"/>
            <w:r w:rsidRPr="00973092">
              <w:rPr>
                <w:i/>
                <w:color w:val="000000"/>
              </w:rPr>
              <w:t>rëndësinë</w:t>
            </w:r>
            <w:proofErr w:type="spellEnd"/>
            <w:r w:rsidRPr="00973092">
              <w:rPr>
                <w:i/>
                <w:color w:val="000000"/>
              </w:rPr>
              <w:t xml:space="preserve"> e </w:t>
            </w:r>
            <w:proofErr w:type="spellStart"/>
            <w:r w:rsidRPr="00973092">
              <w:rPr>
                <w:i/>
                <w:color w:val="000000"/>
              </w:rPr>
              <w:t>arsimimit</w:t>
            </w:r>
            <w:proofErr w:type="spellEnd"/>
            <w:r w:rsidRPr="00973092">
              <w:rPr>
                <w:i/>
                <w:color w:val="000000"/>
              </w:rPr>
              <w:t xml:space="preserve"> të </w:t>
            </w:r>
            <w:proofErr w:type="spellStart"/>
            <w:r w:rsidRPr="00973092">
              <w:rPr>
                <w:i/>
                <w:color w:val="000000"/>
              </w:rPr>
              <w:t>nxënësve</w:t>
            </w:r>
            <w:proofErr w:type="spellEnd"/>
            <w:r w:rsidRPr="00973092">
              <w:rPr>
                <w:i/>
                <w:color w:val="000000"/>
              </w:rPr>
              <w:t xml:space="preserve"> </w:t>
            </w:r>
            <w:proofErr w:type="spellStart"/>
            <w:r w:rsidRPr="00973092">
              <w:rPr>
                <w:i/>
                <w:color w:val="000000"/>
              </w:rPr>
              <w:t>nga</w:t>
            </w:r>
            <w:proofErr w:type="spellEnd"/>
            <w:r w:rsidRPr="00973092">
              <w:rPr>
                <w:i/>
                <w:color w:val="000000"/>
              </w:rPr>
              <w:t xml:space="preserve"> </w:t>
            </w:r>
            <w:proofErr w:type="spellStart"/>
            <w:r w:rsidRPr="00973092">
              <w:rPr>
                <w:i/>
                <w:color w:val="000000"/>
              </w:rPr>
              <w:t>komunitetet</w:t>
            </w:r>
            <w:proofErr w:type="spellEnd"/>
            <w:r w:rsidRPr="00973092">
              <w:rPr>
                <w:i/>
                <w:color w:val="000000"/>
              </w:rPr>
              <w:t xml:space="preserve"> rom, </w:t>
            </w:r>
            <w:proofErr w:type="spellStart"/>
            <w:r w:rsidRPr="00973092">
              <w:rPr>
                <w:i/>
                <w:color w:val="000000"/>
              </w:rPr>
              <w:t>ashkali</w:t>
            </w:r>
            <w:proofErr w:type="spellEnd"/>
            <w:r w:rsidRPr="00973092">
              <w:rPr>
                <w:i/>
                <w:color w:val="000000"/>
              </w:rPr>
              <w:t xml:space="preserve">, </w:t>
            </w:r>
            <w:proofErr w:type="spellStart"/>
            <w:r w:rsidRPr="00973092">
              <w:rPr>
                <w:i/>
                <w:color w:val="000000"/>
              </w:rPr>
              <w:t>egjiptian</w:t>
            </w:r>
            <w:proofErr w:type="spellEnd"/>
            <w:r w:rsidRPr="00973092">
              <w:rPr>
                <w:i/>
                <w:color w:val="000000"/>
              </w:rPr>
              <w:t xml:space="preserve"> </w:t>
            </w:r>
            <w:proofErr w:type="spellStart"/>
            <w:r w:rsidRPr="00973092">
              <w:rPr>
                <w:i/>
                <w:color w:val="000000"/>
              </w:rPr>
              <w:t>dhe</w:t>
            </w:r>
            <w:proofErr w:type="spellEnd"/>
            <w:r w:rsidRPr="00973092">
              <w:rPr>
                <w:i/>
                <w:color w:val="000000"/>
              </w:rPr>
              <w:t xml:space="preserve"> të </w:t>
            </w:r>
            <w:proofErr w:type="spellStart"/>
            <w:r w:rsidRPr="00973092">
              <w:rPr>
                <w:i/>
                <w:color w:val="000000"/>
              </w:rPr>
              <w:t>tjerë</w:t>
            </w:r>
            <w:proofErr w:type="spellEnd"/>
          </w:p>
          <w:p w:rsidR="00376CF3" w:rsidRPr="00973092" w:rsidRDefault="00376CF3" w:rsidP="00376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:rsidR="00376CF3" w:rsidRPr="00973092" w:rsidRDefault="00376CF3" w:rsidP="00376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proofErr w:type="spellStart"/>
            <w:r w:rsidRPr="00973092">
              <w:rPr>
                <w:i/>
                <w:color w:val="000000"/>
              </w:rPr>
              <w:t>Përmirësimi</w:t>
            </w:r>
            <w:proofErr w:type="spellEnd"/>
            <w:r w:rsidRPr="00973092">
              <w:rPr>
                <w:i/>
                <w:color w:val="000000"/>
              </w:rPr>
              <w:t xml:space="preserve"> i </w:t>
            </w:r>
            <w:proofErr w:type="spellStart"/>
            <w:r w:rsidRPr="00973092">
              <w:rPr>
                <w:i/>
                <w:color w:val="000000"/>
              </w:rPr>
              <w:t>bashkëpunimit</w:t>
            </w:r>
            <w:proofErr w:type="spellEnd"/>
            <w:r w:rsidRPr="00973092">
              <w:rPr>
                <w:i/>
                <w:color w:val="000000"/>
              </w:rPr>
              <w:t xml:space="preserve"> </w:t>
            </w:r>
            <w:proofErr w:type="spellStart"/>
            <w:r w:rsidRPr="00973092">
              <w:rPr>
                <w:i/>
                <w:color w:val="000000"/>
              </w:rPr>
              <w:t>mes</w:t>
            </w:r>
            <w:proofErr w:type="spellEnd"/>
            <w:r w:rsidRPr="00973092">
              <w:rPr>
                <w:i/>
                <w:color w:val="000000"/>
              </w:rPr>
              <w:t xml:space="preserve"> </w:t>
            </w:r>
            <w:proofErr w:type="spellStart"/>
            <w:r w:rsidRPr="00973092">
              <w:rPr>
                <w:i/>
                <w:color w:val="000000"/>
              </w:rPr>
              <w:t>qendrave</w:t>
            </w:r>
            <w:proofErr w:type="spellEnd"/>
            <w:r w:rsidRPr="00973092">
              <w:rPr>
                <w:i/>
                <w:color w:val="000000"/>
              </w:rPr>
              <w:t xml:space="preserve"> </w:t>
            </w:r>
            <w:proofErr w:type="spellStart"/>
            <w:r w:rsidRPr="00973092">
              <w:rPr>
                <w:i/>
                <w:color w:val="000000"/>
              </w:rPr>
              <w:t>mësimore</w:t>
            </w:r>
            <w:proofErr w:type="spellEnd"/>
            <w:r w:rsidRPr="00973092">
              <w:rPr>
                <w:i/>
                <w:color w:val="000000"/>
              </w:rPr>
              <w:t xml:space="preserve">, </w:t>
            </w:r>
            <w:proofErr w:type="spellStart"/>
            <w:r w:rsidRPr="00973092">
              <w:rPr>
                <w:i/>
                <w:color w:val="000000"/>
              </w:rPr>
              <w:t>shkollave</w:t>
            </w:r>
            <w:proofErr w:type="spellEnd"/>
            <w:r w:rsidRPr="00973092">
              <w:rPr>
                <w:i/>
                <w:color w:val="000000"/>
              </w:rPr>
              <w:t xml:space="preserve"> </w:t>
            </w:r>
            <w:proofErr w:type="spellStart"/>
            <w:r w:rsidRPr="00973092">
              <w:rPr>
                <w:i/>
                <w:color w:val="000000"/>
              </w:rPr>
              <w:t>dhe</w:t>
            </w:r>
            <w:proofErr w:type="spellEnd"/>
            <w:r w:rsidRPr="00973092">
              <w:rPr>
                <w:i/>
                <w:color w:val="000000"/>
              </w:rPr>
              <w:t xml:space="preserve"> </w:t>
            </w:r>
            <w:proofErr w:type="spellStart"/>
            <w:r w:rsidRPr="00973092">
              <w:rPr>
                <w:i/>
                <w:color w:val="000000"/>
              </w:rPr>
              <w:t>drejtorive</w:t>
            </w:r>
            <w:proofErr w:type="spellEnd"/>
            <w:r w:rsidRPr="00973092">
              <w:rPr>
                <w:i/>
                <w:color w:val="000000"/>
              </w:rPr>
              <w:t xml:space="preserve"> </w:t>
            </w:r>
            <w:proofErr w:type="spellStart"/>
            <w:r w:rsidRPr="00973092">
              <w:rPr>
                <w:i/>
                <w:color w:val="000000"/>
              </w:rPr>
              <w:t>komunale</w:t>
            </w:r>
            <w:proofErr w:type="spellEnd"/>
            <w:r w:rsidRPr="00973092">
              <w:rPr>
                <w:i/>
                <w:color w:val="000000"/>
              </w:rPr>
              <w:t xml:space="preserve"> të </w:t>
            </w:r>
            <w:proofErr w:type="spellStart"/>
            <w:r w:rsidRPr="00973092">
              <w:rPr>
                <w:i/>
                <w:color w:val="000000"/>
              </w:rPr>
              <w:t>arsimit</w:t>
            </w:r>
            <w:proofErr w:type="spellEnd"/>
            <w:r w:rsidRPr="00973092">
              <w:rPr>
                <w:i/>
                <w:color w:val="000000"/>
              </w:rPr>
              <w:t>.</w:t>
            </w:r>
          </w:p>
          <w:p w:rsidR="00376CF3" w:rsidRPr="003C19B1" w:rsidRDefault="00376CF3" w:rsidP="00376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highlight w:val="lightGray"/>
                <w:lang w:val="sq-AL"/>
              </w:rPr>
            </w:pPr>
          </w:p>
        </w:tc>
        <w:tc>
          <w:tcPr>
            <w:tcW w:w="990" w:type="dxa"/>
          </w:tcPr>
          <w:p w:rsidR="00376CF3" w:rsidRPr="001A5882" w:rsidRDefault="00376CF3" w:rsidP="00376CF3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1A5882">
              <w:rPr>
                <w:i/>
                <w:lang w:val="sq-AL"/>
              </w:rPr>
              <w:t xml:space="preserve">              </w:t>
            </w:r>
          </w:p>
          <w:p w:rsidR="00376CF3" w:rsidRPr="001A5882" w:rsidRDefault="00376CF3" w:rsidP="00973092">
            <w:pPr>
              <w:tabs>
                <w:tab w:val="left" w:pos="5008"/>
              </w:tabs>
              <w:jc w:val="center"/>
              <w:rPr>
                <w:i/>
                <w:highlight w:val="lightGray"/>
                <w:lang w:val="sq-AL"/>
              </w:rPr>
            </w:pPr>
            <w:r>
              <w:rPr>
                <w:i/>
                <w:lang w:val="sq-AL"/>
              </w:rPr>
              <w:t>5</w:t>
            </w:r>
          </w:p>
        </w:tc>
        <w:tc>
          <w:tcPr>
            <w:tcW w:w="1350" w:type="dxa"/>
          </w:tcPr>
          <w:p w:rsidR="00376CF3" w:rsidRPr="001A5882" w:rsidRDefault="00376CF3" w:rsidP="00376CF3">
            <w:pPr>
              <w:tabs>
                <w:tab w:val="left" w:pos="5008"/>
              </w:tabs>
              <w:rPr>
                <w:i/>
                <w:lang w:val="sq-AL"/>
              </w:rPr>
            </w:pPr>
          </w:p>
          <w:p w:rsidR="00376CF3" w:rsidRPr="001A5882" w:rsidRDefault="00376CF3" w:rsidP="00973092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>
              <w:rPr>
                <w:i/>
                <w:lang w:val="sq-AL"/>
              </w:rPr>
              <w:t>25</w:t>
            </w:r>
            <w:r w:rsidRPr="001A5882">
              <w:rPr>
                <w:i/>
                <w:lang w:val="sq-AL"/>
              </w:rPr>
              <w:t xml:space="preserve">0.000.00 </w:t>
            </w:r>
          </w:p>
        </w:tc>
        <w:tc>
          <w:tcPr>
            <w:tcW w:w="1237" w:type="dxa"/>
          </w:tcPr>
          <w:p w:rsidR="00376CF3" w:rsidRPr="001A5882" w:rsidRDefault="00376CF3" w:rsidP="00376CF3">
            <w:pPr>
              <w:tabs>
                <w:tab w:val="left" w:pos="5008"/>
              </w:tabs>
              <w:rPr>
                <w:i/>
                <w:lang w:val="sq-AL"/>
              </w:rPr>
            </w:pPr>
          </w:p>
          <w:p w:rsidR="00376CF3" w:rsidRPr="001A5882" w:rsidRDefault="00973092" w:rsidP="00376CF3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>
              <w:rPr>
                <w:i/>
                <w:lang w:val="sq-AL"/>
              </w:rPr>
              <w:t>Prill- Maj 2024</w:t>
            </w:r>
          </w:p>
        </w:tc>
        <w:tc>
          <w:tcPr>
            <w:tcW w:w="1643" w:type="dxa"/>
          </w:tcPr>
          <w:p w:rsidR="00376CF3" w:rsidRPr="001A5882" w:rsidRDefault="00376CF3" w:rsidP="00376CF3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</w:p>
          <w:p w:rsidR="00376CF3" w:rsidRPr="001A5882" w:rsidRDefault="00376CF3" w:rsidP="00376CF3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1A5882">
              <w:rPr>
                <w:i/>
                <w:lang w:val="sq-AL"/>
              </w:rPr>
              <w:t>Shtator -Tetor</w:t>
            </w:r>
          </w:p>
          <w:p w:rsidR="00376CF3" w:rsidRPr="001A5882" w:rsidRDefault="00973092" w:rsidP="00376CF3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>
              <w:rPr>
                <w:i/>
                <w:lang w:val="sq-AL"/>
              </w:rPr>
              <w:t>2024</w:t>
            </w:r>
          </w:p>
        </w:tc>
        <w:tc>
          <w:tcPr>
            <w:tcW w:w="900" w:type="dxa"/>
          </w:tcPr>
          <w:p w:rsidR="00376CF3" w:rsidRPr="001A5882" w:rsidRDefault="00376CF3" w:rsidP="00376CF3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1A5882">
              <w:rPr>
                <w:i/>
                <w:lang w:val="sq-AL"/>
              </w:rPr>
              <w:t xml:space="preserve">              </w:t>
            </w:r>
          </w:p>
          <w:p w:rsidR="00376CF3" w:rsidRPr="001A5882" w:rsidRDefault="00376CF3" w:rsidP="00376CF3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 w:rsidRPr="001A5882">
              <w:rPr>
                <w:i/>
                <w:lang w:val="sq-AL"/>
              </w:rPr>
              <w:t xml:space="preserve">     </w:t>
            </w:r>
          </w:p>
        </w:tc>
      </w:tr>
    </w:tbl>
    <w:p w:rsidR="003C19B1" w:rsidRPr="003C19B1" w:rsidRDefault="003C19B1" w:rsidP="003C19B1">
      <w:pPr>
        <w:tabs>
          <w:tab w:val="left" w:pos="5008"/>
        </w:tabs>
        <w:jc w:val="both"/>
        <w:rPr>
          <w:lang w:val="sq-AL"/>
        </w:rPr>
      </w:pPr>
    </w:p>
    <w:p w:rsidR="00CC7E50" w:rsidRDefault="00CC7E50"/>
    <w:sectPr w:rsidR="00CC7E50" w:rsidSect="00147F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A3"/>
    <w:rsid w:val="00007634"/>
    <w:rsid w:val="000436FE"/>
    <w:rsid w:val="001205A4"/>
    <w:rsid w:val="0013377A"/>
    <w:rsid w:val="0014786B"/>
    <w:rsid w:val="00147FA3"/>
    <w:rsid w:val="002C3706"/>
    <w:rsid w:val="002E1944"/>
    <w:rsid w:val="00360FA6"/>
    <w:rsid w:val="00376CF3"/>
    <w:rsid w:val="003B2642"/>
    <w:rsid w:val="003C19B1"/>
    <w:rsid w:val="003C2C91"/>
    <w:rsid w:val="003D6CB9"/>
    <w:rsid w:val="003E12DE"/>
    <w:rsid w:val="003F74D9"/>
    <w:rsid w:val="0040197C"/>
    <w:rsid w:val="00481742"/>
    <w:rsid w:val="00544FDF"/>
    <w:rsid w:val="00595758"/>
    <w:rsid w:val="005C6917"/>
    <w:rsid w:val="007107BA"/>
    <w:rsid w:val="007E3922"/>
    <w:rsid w:val="0081585D"/>
    <w:rsid w:val="008B608E"/>
    <w:rsid w:val="00973092"/>
    <w:rsid w:val="00AB036D"/>
    <w:rsid w:val="00B205DD"/>
    <w:rsid w:val="00B606B5"/>
    <w:rsid w:val="00C51E06"/>
    <w:rsid w:val="00CC6F5B"/>
    <w:rsid w:val="00C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4B34B6-B707-4B6A-B065-B10CF6C4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FA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44"/>
    <w:pPr>
      <w:keepNext/>
      <w:keepLines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"/>
    <w:basedOn w:val="Normal"/>
    <w:link w:val="ListParagraphChar"/>
    <w:uiPriority w:val="34"/>
    <w:qFormat/>
    <w:rsid w:val="00147FA3"/>
    <w:pPr>
      <w:ind w:left="720"/>
      <w:contextualSpacing/>
    </w:pPr>
  </w:style>
  <w:style w:type="character" w:customStyle="1" w:styleId="ListParagraphChar">
    <w:name w:val="List Paragraph Char"/>
    <w:aliases w:val="List Paragraph (numbered (a)) Char,Normal 1 Char,List Paragraph 1 Char,Akapit z listą BS Char,Bullets Char"/>
    <w:link w:val="ListParagraph"/>
    <w:uiPriority w:val="34"/>
    <w:rsid w:val="00147FA3"/>
    <w:rPr>
      <w:rFonts w:ascii="Times New Roman" w:eastAsia="MS Mincho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944"/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Minire M. Gashi</cp:lastModifiedBy>
  <cp:revision>15</cp:revision>
  <dcterms:created xsi:type="dcterms:W3CDTF">2023-01-10T08:00:00Z</dcterms:created>
  <dcterms:modified xsi:type="dcterms:W3CDTF">2024-02-28T07:47:00Z</dcterms:modified>
</cp:coreProperties>
</file>