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226"/>
        <w:tblOverlap w:val="never"/>
        <w:tblW w:w="9468" w:type="dxa"/>
        <w:tblLook w:val="01E0"/>
      </w:tblPr>
      <w:tblGrid>
        <w:gridCol w:w="9468"/>
      </w:tblGrid>
      <w:tr w:rsidR="00DA2CF2" w:rsidRPr="00A8547A" w:rsidTr="00B5548D">
        <w:trPr>
          <w:trHeight w:val="1009"/>
        </w:trPr>
        <w:tc>
          <w:tcPr>
            <w:tcW w:w="9468" w:type="dxa"/>
            <w:vAlign w:val="center"/>
          </w:tcPr>
          <w:p w:rsidR="00DA2CF2" w:rsidRPr="00A8547A" w:rsidRDefault="00DA2CF2" w:rsidP="00B5548D">
            <w:pPr>
              <w:spacing w:line="276" w:lineRule="auto"/>
              <w:jc w:val="center"/>
              <w:rPr>
                <w:rStyle w:val="Emphasis"/>
                <w:rFonts w:ascii="Book Antiqua" w:hAnsi="Book Antiqua"/>
              </w:rPr>
            </w:pPr>
            <w:r w:rsidRPr="00A8547A">
              <w:rPr>
                <w:rFonts w:ascii="Book Antiqua" w:hAnsi="Book Antiqua"/>
                <w:noProof/>
                <w:lang w:val="en-US"/>
              </w:rPr>
              <w:drawing>
                <wp:anchor distT="0" distB="0" distL="114300" distR="114300" simplePos="0" relativeHeight="251659264" behindDoc="1" locked="0" layoutInCell="1" allowOverlap="1">
                  <wp:simplePos x="0" y="0"/>
                  <wp:positionH relativeFrom="column">
                    <wp:posOffset>2465705</wp:posOffset>
                  </wp:positionH>
                  <wp:positionV relativeFrom="paragraph">
                    <wp:posOffset>139065</wp:posOffset>
                  </wp:positionV>
                  <wp:extent cx="791845" cy="87693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845" cy="876935"/>
                          </a:xfrm>
                          <a:prstGeom prst="rect">
                            <a:avLst/>
                          </a:prstGeom>
                          <a:noFill/>
                        </pic:spPr>
                      </pic:pic>
                    </a:graphicData>
                  </a:graphic>
                </wp:anchor>
              </w:drawing>
            </w:r>
          </w:p>
          <w:p w:rsidR="00DA2CF2" w:rsidRPr="00A8547A" w:rsidRDefault="00DA2CF2" w:rsidP="00B5548D">
            <w:pPr>
              <w:spacing w:line="276" w:lineRule="auto"/>
              <w:jc w:val="center"/>
              <w:rPr>
                <w:rStyle w:val="Emphasis"/>
                <w:rFonts w:ascii="Book Antiqua" w:hAnsi="Book Antiqua"/>
              </w:rPr>
            </w:pPr>
          </w:p>
          <w:p w:rsidR="00DA2CF2" w:rsidRPr="00A8547A" w:rsidRDefault="00DA2CF2" w:rsidP="00B5548D">
            <w:pPr>
              <w:spacing w:line="276" w:lineRule="auto"/>
              <w:rPr>
                <w:rStyle w:val="Emphasis"/>
                <w:rFonts w:ascii="Book Antiqua" w:hAnsi="Book Antiqua"/>
              </w:rPr>
            </w:pPr>
          </w:p>
          <w:p w:rsidR="00DA2CF2" w:rsidRPr="00A8547A" w:rsidRDefault="00DA2CF2" w:rsidP="00B5548D">
            <w:pPr>
              <w:spacing w:line="276" w:lineRule="auto"/>
              <w:jc w:val="center"/>
              <w:rPr>
                <w:rFonts w:ascii="Book Antiqua" w:hAnsi="Book Antiqua" w:cs="Book Antiqua"/>
                <w:b/>
                <w:bCs/>
              </w:rPr>
            </w:pPr>
          </w:p>
          <w:p w:rsidR="00DA2CF2" w:rsidRPr="00A8547A" w:rsidRDefault="00DA2CF2" w:rsidP="00B5548D">
            <w:pPr>
              <w:spacing w:line="360" w:lineRule="auto"/>
              <w:jc w:val="center"/>
              <w:rPr>
                <w:rFonts w:ascii="Book Antiqua" w:hAnsi="Book Antiqua" w:cs="Book Antiqua"/>
                <w:b/>
                <w:bCs/>
              </w:rPr>
            </w:pPr>
          </w:p>
          <w:p w:rsidR="00DA2CF2" w:rsidRPr="00A8547A" w:rsidRDefault="00DA2CF2" w:rsidP="00B5548D">
            <w:pPr>
              <w:spacing w:line="276" w:lineRule="auto"/>
              <w:jc w:val="center"/>
              <w:rPr>
                <w:rFonts w:ascii="Book Antiqua" w:eastAsia="Batang" w:hAnsi="Book Antiqua"/>
                <w:b/>
                <w:bCs/>
              </w:rPr>
            </w:pPr>
            <w:r w:rsidRPr="00A8547A">
              <w:rPr>
                <w:rFonts w:ascii="Book Antiqua" w:hAnsi="Book Antiqua" w:cs="Book Antiqua"/>
                <w:b/>
                <w:bCs/>
              </w:rPr>
              <w:t>Republika e Kosovës</w:t>
            </w:r>
          </w:p>
          <w:p w:rsidR="00DA2CF2" w:rsidRPr="00A8547A" w:rsidRDefault="00DA2CF2" w:rsidP="00B5548D">
            <w:pPr>
              <w:spacing w:line="276" w:lineRule="auto"/>
              <w:jc w:val="center"/>
              <w:rPr>
                <w:rFonts w:ascii="Book Antiqua" w:hAnsi="Book Antiqua" w:cs="Book Antiqua"/>
                <w:b/>
                <w:bCs/>
              </w:rPr>
            </w:pPr>
            <w:r w:rsidRPr="00A8547A">
              <w:rPr>
                <w:rFonts w:ascii="Book Antiqua" w:eastAsia="Batang" w:hAnsi="Book Antiqua" w:cs="Book Antiqua"/>
                <w:b/>
                <w:bCs/>
              </w:rPr>
              <w:t xml:space="preserve">Republika Kosova - </w:t>
            </w:r>
            <w:r w:rsidRPr="00A8547A">
              <w:rPr>
                <w:rFonts w:ascii="Book Antiqua" w:hAnsi="Book Antiqua" w:cs="Book Antiqua"/>
                <w:b/>
                <w:bCs/>
              </w:rPr>
              <w:t>Republic of Kosovo</w:t>
            </w:r>
          </w:p>
          <w:p w:rsidR="00DA2CF2" w:rsidRPr="00A8547A" w:rsidRDefault="00DA2CF2" w:rsidP="00B5548D">
            <w:pPr>
              <w:spacing w:line="276" w:lineRule="auto"/>
              <w:jc w:val="center"/>
              <w:rPr>
                <w:rFonts w:ascii="Book Antiqua" w:hAnsi="Book Antiqua" w:cs="Book Antiqua"/>
                <w:b/>
                <w:bCs/>
                <w:i/>
                <w:iCs/>
              </w:rPr>
            </w:pPr>
            <w:r w:rsidRPr="00A8547A">
              <w:rPr>
                <w:rFonts w:ascii="Book Antiqua" w:hAnsi="Book Antiqua" w:cs="Book Antiqua"/>
                <w:b/>
                <w:bCs/>
                <w:i/>
                <w:iCs/>
              </w:rPr>
              <w:t xml:space="preserve">Qeveria – Vlada - Government </w:t>
            </w:r>
          </w:p>
          <w:p w:rsidR="00DA2CF2" w:rsidRPr="00A8547A" w:rsidRDefault="00DA2CF2" w:rsidP="00B5548D">
            <w:pPr>
              <w:spacing w:line="276" w:lineRule="auto"/>
              <w:jc w:val="center"/>
              <w:rPr>
                <w:rFonts w:ascii="Book Antiqua" w:hAnsi="Book Antiqua" w:cs="Book Antiqua"/>
                <w:b/>
                <w:bCs/>
                <w:i/>
                <w:iCs/>
              </w:rPr>
            </w:pPr>
          </w:p>
          <w:p w:rsidR="00DA2CF2" w:rsidRPr="00A8547A" w:rsidRDefault="00DA2CF2" w:rsidP="00B5548D">
            <w:pPr>
              <w:spacing w:line="276" w:lineRule="auto"/>
              <w:jc w:val="center"/>
              <w:rPr>
                <w:rFonts w:ascii="Book Antiqua" w:hAnsi="Book Antiqua"/>
                <w:b/>
                <w:bCs/>
                <w:i/>
                <w:iCs/>
              </w:rPr>
            </w:pPr>
            <w:r w:rsidRPr="00A8547A">
              <w:rPr>
                <w:rFonts w:ascii="Book Antiqua" w:hAnsi="Book Antiqua"/>
                <w:b/>
                <w:bCs/>
                <w:i/>
                <w:iCs/>
              </w:rPr>
              <w:t>Ministria e Arsimit, Shkencës dhe Teknologjisë</w:t>
            </w:r>
          </w:p>
          <w:p w:rsidR="00DA2CF2" w:rsidRPr="00A8547A" w:rsidRDefault="00DA2CF2" w:rsidP="00B5548D">
            <w:pPr>
              <w:spacing w:line="276" w:lineRule="auto"/>
              <w:jc w:val="center"/>
              <w:rPr>
                <w:rFonts w:ascii="Book Antiqua" w:hAnsi="Book Antiqua"/>
                <w:b/>
                <w:bCs/>
                <w:i/>
                <w:iCs/>
                <w:lang w:val="sr-Latn-CS"/>
              </w:rPr>
            </w:pPr>
            <w:r w:rsidRPr="00A8547A">
              <w:rPr>
                <w:rFonts w:ascii="Book Antiqua" w:hAnsi="Book Antiqua"/>
                <w:b/>
                <w:bCs/>
                <w:i/>
                <w:iCs/>
              </w:rPr>
              <w:t xml:space="preserve"> </w:t>
            </w:r>
            <w:r w:rsidRPr="00A8547A">
              <w:rPr>
                <w:rFonts w:ascii="Book Antiqua" w:hAnsi="Book Antiqua"/>
                <w:b/>
                <w:bCs/>
                <w:i/>
                <w:iCs/>
                <w:lang w:val="sr-Latn-CS"/>
              </w:rPr>
              <w:t>Ministarstva za Obrazovanje, Nauku i Tehnologiju</w:t>
            </w:r>
          </w:p>
          <w:p w:rsidR="00DA2CF2" w:rsidRPr="00A8547A" w:rsidRDefault="00DA2CF2" w:rsidP="00B5548D">
            <w:pPr>
              <w:spacing w:line="276" w:lineRule="auto"/>
              <w:jc w:val="center"/>
              <w:rPr>
                <w:rFonts w:ascii="Book Antiqua" w:hAnsi="Book Antiqua"/>
                <w:b/>
                <w:bCs/>
                <w:i/>
                <w:iCs/>
                <w:lang w:val="en-GB"/>
              </w:rPr>
            </w:pPr>
            <w:r w:rsidRPr="00A8547A">
              <w:rPr>
                <w:rFonts w:ascii="Book Antiqua" w:hAnsi="Book Antiqua"/>
                <w:b/>
                <w:bCs/>
                <w:i/>
                <w:iCs/>
              </w:rPr>
              <w:t xml:space="preserve"> </w:t>
            </w:r>
            <w:r w:rsidRPr="00A8547A">
              <w:rPr>
                <w:rFonts w:ascii="Book Antiqua" w:hAnsi="Book Antiqua"/>
                <w:b/>
                <w:bCs/>
                <w:i/>
                <w:iCs/>
                <w:lang w:val="en-GB"/>
              </w:rPr>
              <w:t>Ministry of Education, Science and Technology</w:t>
            </w:r>
          </w:p>
          <w:p w:rsidR="00DA2CF2" w:rsidRDefault="00DA2CF2" w:rsidP="00B5548D">
            <w:pPr>
              <w:spacing w:line="276" w:lineRule="auto"/>
              <w:jc w:val="center"/>
              <w:rPr>
                <w:rFonts w:ascii="Book Antiqua" w:hAnsi="Book Antiqua"/>
                <w:bCs/>
                <w:i/>
                <w:iCs/>
              </w:rPr>
            </w:pPr>
          </w:p>
          <w:p w:rsidR="00077828" w:rsidRPr="00A8547A" w:rsidRDefault="00077828" w:rsidP="00B5548D">
            <w:pPr>
              <w:spacing w:line="276" w:lineRule="auto"/>
              <w:jc w:val="center"/>
              <w:rPr>
                <w:rFonts w:ascii="Book Antiqua" w:hAnsi="Book Antiqua"/>
                <w:bCs/>
                <w:i/>
                <w:iCs/>
              </w:rPr>
            </w:pPr>
          </w:p>
        </w:tc>
      </w:tr>
    </w:tbl>
    <w:p w:rsidR="00FD1E25" w:rsidRDefault="00FD1E25" w:rsidP="00FD1E25">
      <w:pPr>
        <w:rPr>
          <w:rFonts w:ascii="Book Antiqua" w:hAnsi="Book Antiqua"/>
        </w:rPr>
      </w:pPr>
      <w:r>
        <w:rPr>
          <w:rFonts w:ascii="Book Antiqua" w:hAnsi="Book Antiqua"/>
        </w:rPr>
        <w:t>Prishtinë, 11 shkurt 2016</w:t>
      </w:r>
    </w:p>
    <w:p w:rsidR="00FD1E25" w:rsidRDefault="00FD1E25" w:rsidP="00FD1E25">
      <w:pPr>
        <w:rPr>
          <w:rFonts w:ascii="Book Antiqua" w:hAnsi="Book Antiqua"/>
        </w:rPr>
      </w:pPr>
    </w:p>
    <w:p w:rsidR="00FD1E25" w:rsidRDefault="00FD1E25" w:rsidP="00FD1E25">
      <w:pPr>
        <w:rPr>
          <w:rFonts w:ascii="Book Antiqua" w:hAnsi="Book Antiqua"/>
          <w:b/>
        </w:rPr>
      </w:pPr>
      <w:r>
        <w:rPr>
          <w:rFonts w:ascii="Book Antiqua" w:hAnsi="Book Antiqua"/>
          <w:b/>
        </w:rPr>
        <w:t>Programi i bursave hungareze “Stipendium Hungaricum”</w:t>
      </w:r>
      <w:r>
        <w:rPr>
          <w:rFonts w:ascii="Book Antiqua" w:hAnsi="Book Antiqua"/>
        </w:rPr>
        <w:t xml:space="preserve"> </w:t>
      </w:r>
      <w:r>
        <w:rPr>
          <w:rFonts w:ascii="Book Antiqua" w:hAnsi="Book Antiqua"/>
          <w:b/>
        </w:rPr>
        <w:t xml:space="preserve">për studentët kosovarë </w:t>
      </w:r>
    </w:p>
    <w:p w:rsidR="00FD1E25" w:rsidRDefault="00FD1E25" w:rsidP="00FD1E25">
      <w:pPr>
        <w:rPr>
          <w:rFonts w:ascii="Book Antiqua" w:hAnsi="Book Antiqua"/>
          <w:b/>
        </w:rPr>
      </w:pPr>
    </w:p>
    <w:p w:rsidR="00FD1E25" w:rsidRPr="00FD1E25" w:rsidRDefault="00FD1E25" w:rsidP="00FD1E25">
      <w:pPr>
        <w:rPr>
          <w:rFonts w:ascii="Book Antiqua" w:hAnsi="Book Antiqua"/>
          <w:b/>
        </w:rPr>
      </w:pPr>
      <w:r>
        <w:rPr>
          <w:rFonts w:ascii="Book Antiqua" w:hAnsi="Book Antiqua"/>
        </w:rPr>
        <w:t xml:space="preserve">Ministria e Arsimit, Shkencës dhe Teknologjisë e Republikës së Kosovës dhe </w:t>
      </w:r>
    </w:p>
    <w:p w:rsidR="00FD1E25" w:rsidRDefault="00FD1E25" w:rsidP="00FD1E25">
      <w:pPr>
        <w:rPr>
          <w:rFonts w:ascii="Book Antiqua" w:hAnsi="Book Antiqua"/>
        </w:rPr>
      </w:pPr>
      <w:r>
        <w:rPr>
          <w:rFonts w:ascii="Book Antiqua" w:hAnsi="Book Antiqua"/>
        </w:rPr>
        <w:t>Ministria për Kapacitete Njerëzore e Hungarisë kanë nënshkruar marrëveshjen e</w:t>
      </w:r>
    </w:p>
    <w:p w:rsidR="00FD1E25" w:rsidRDefault="00FD1E25" w:rsidP="00FD1E25">
      <w:pPr>
        <w:rPr>
          <w:rFonts w:ascii="Book Antiqua" w:hAnsi="Book Antiqua"/>
        </w:rPr>
      </w:pPr>
      <w:r>
        <w:rPr>
          <w:rFonts w:ascii="Book Antiqua" w:hAnsi="Book Antiqua"/>
        </w:rPr>
        <w:t xml:space="preserve">“Programit për Bashkëpunim Shkencor dhe Arsimor” për vitet 2016-2018. </w:t>
      </w:r>
    </w:p>
    <w:p w:rsidR="00FD1E25" w:rsidRDefault="00FD1E25" w:rsidP="00FD1E25">
      <w:pPr>
        <w:rPr>
          <w:rFonts w:ascii="Book Antiqua" w:hAnsi="Book Antiqua"/>
        </w:rPr>
      </w:pPr>
      <w:r>
        <w:rPr>
          <w:rFonts w:ascii="Book Antiqua" w:hAnsi="Book Antiqua"/>
        </w:rPr>
        <w:t>Sipas këtij programi të bashkëpunimit Qeveria e Hungarisë ofron gjithsej 30 bursa në vit për studentët e Kosovës, për të ndjekur studimet në Hungari në gjuhën hungareze apo në një gjuhë tjetër të huaj sipas korrnizës vijuese përmes programit “Stipendium Hungaricum”:</w:t>
      </w:r>
    </w:p>
    <w:p w:rsidR="00FD1E25" w:rsidRDefault="00FD1E25" w:rsidP="00FD1E25">
      <w:pPr>
        <w:rPr>
          <w:rFonts w:ascii="Book Antiqua" w:hAnsi="Book Antiqua"/>
        </w:rPr>
      </w:pPr>
    </w:p>
    <w:p w:rsidR="00FD1E25" w:rsidRDefault="00FD1E25" w:rsidP="00FD1E25">
      <w:pPr>
        <w:ind w:left="360"/>
        <w:rPr>
          <w:rFonts w:ascii="Book Antiqua" w:hAnsi="Book Antiqua"/>
        </w:rPr>
      </w:pPr>
    </w:p>
    <w:p w:rsidR="00FD1E25" w:rsidRPr="00FD1E25" w:rsidRDefault="00FD1E25" w:rsidP="00FD1E25">
      <w:pPr>
        <w:pStyle w:val="ListParagraph"/>
        <w:numPr>
          <w:ilvl w:val="0"/>
          <w:numId w:val="3"/>
        </w:numPr>
        <w:jc w:val="both"/>
        <w:rPr>
          <w:rFonts w:ascii="Book Antiqua" w:hAnsi="Book Antiqua"/>
        </w:rPr>
      </w:pPr>
      <w:r w:rsidRPr="00FD1E25">
        <w:rPr>
          <w:rFonts w:ascii="Book Antiqua" w:hAnsi="Book Antiqua"/>
        </w:rPr>
        <w:t xml:space="preserve">10 bursa për 6 semestra të plotë të programeve të studimit BA/BSc në fushën e Bujqësisë, </w:t>
      </w:r>
    </w:p>
    <w:p w:rsidR="00FD1E25" w:rsidRDefault="00FD1E25" w:rsidP="00FD1E25">
      <w:pPr>
        <w:pStyle w:val="ListParagraph"/>
        <w:numPr>
          <w:ilvl w:val="0"/>
          <w:numId w:val="3"/>
        </w:numPr>
        <w:jc w:val="both"/>
        <w:rPr>
          <w:rFonts w:ascii="Book Antiqua" w:hAnsi="Book Antiqua"/>
        </w:rPr>
      </w:pPr>
      <w:r>
        <w:rPr>
          <w:rFonts w:ascii="Book Antiqua" w:hAnsi="Book Antiqua"/>
        </w:rPr>
        <w:t xml:space="preserve">5 bursa për 6 semestra të plotë të programeve të studimit BA/BSc në fushën e Gjuhës dhe Letërsisë Hungareze, </w:t>
      </w:r>
    </w:p>
    <w:p w:rsidR="00FD1E25" w:rsidRDefault="00FD1E25" w:rsidP="00FD1E25">
      <w:pPr>
        <w:pStyle w:val="ListParagraph"/>
        <w:numPr>
          <w:ilvl w:val="0"/>
          <w:numId w:val="3"/>
        </w:numPr>
        <w:jc w:val="both"/>
        <w:rPr>
          <w:rFonts w:ascii="Book Antiqua" w:hAnsi="Book Antiqua"/>
        </w:rPr>
      </w:pPr>
      <w:r>
        <w:rPr>
          <w:rFonts w:ascii="Book Antiqua" w:hAnsi="Book Antiqua"/>
        </w:rPr>
        <w:t>10 bursa për 4 semestra të plotë MA/MSc në fushën e Bujqësisë,</w:t>
      </w:r>
    </w:p>
    <w:p w:rsidR="00FD1E25" w:rsidRDefault="00FD1E25" w:rsidP="00FD1E25">
      <w:pPr>
        <w:pStyle w:val="ListParagraph"/>
        <w:numPr>
          <w:ilvl w:val="0"/>
          <w:numId w:val="3"/>
        </w:numPr>
        <w:jc w:val="both"/>
        <w:rPr>
          <w:rFonts w:ascii="Book Antiqua" w:hAnsi="Book Antiqua"/>
        </w:rPr>
      </w:pPr>
      <w:r>
        <w:rPr>
          <w:rFonts w:ascii="Book Antiqua" w:hAnsi="Book Antiqua"/>
        </w:rPr>
        <w:t>3 bursa për në fushën e Mjekësisë, dhe</w:t>
      </w:r>
    </w:p>
    <w:p w:rsidR="00FD1E25" w:rsidRDefault="00FD1E25" w:rsidP="00FD1E25">
      <w:pPr>
        <w:pStyle w:val="ListParagraph"/>
        <w:numPr>
          <w:ilvl w:val="0"/>
          <w:numId w:val="3"/>
        </w:numPr>
        <w:jc w:val="both"/>
        <w:rPr>
          <w:rFonts w:ascii="Book Antiqua" w:hAnsi="Book Antiqua"/>
        </w:rPr>
      </w:pPr>
      <w:r>
        <w:rPr>
          <w:rFonts w:ascii="Book Antiqua" w:hAnsi="Book Antiqua"/>
        </w:rPr>
        <w:t xml:space="preserve">2 bursa për studime të plota PhD nga fusha e ekonomisë, marrëdhëniet ndërkombëtare dhe administrata publike. </w:t>
      </w:r>
    </w:p>
    <w:p w:rsidR="00FD1E25" w:rsidRDefault="00FD1E25" w:rsidP="00FD1E25">
      <w:pPr>
        <w:pStyle w:val="ListParagraph"/>
        <w:rPr>
          <w:rFonts w:ascii="Book Antiqua" w:hAnsi="Book Antiqua"/>
        </w:rPr>
      </w:pPr>
    </w:p>
    <w:p w:rsidR="00FD1E25" w:rsidRDefault="00FD1E25" w:rsidP="00FD1E25">
      <w:pPr>
        <w:rPr>
          <w:rFonts w:ascii="Book Antiqua" w:hAnsi="Book Antiqua"/>
        </w:rPr>
      </w:pPr>
      <w:r>
        <w:rPr>
          <w:rFonts w:ascii="Book Antiqua" w:hAnsi="Book Antiqua"/>
        </w:rPr>
        <w:t xml:space="preserve">Gjithësejt, 27 institucione hungareze të arsimit të lartë janë të angazhuar në Programin “Stipendium Hungaricum” për vitin akademik 2016/2017 me një total prej 420 programeve studimore. Programet studimore janë në përgjithësi në dispozicion në gjuhën angleze dhe hungareze, me disa programe poashtu të ofruara në gjuhën gjermane dhe frenge. </w:t>
      </w:r>
    </w:p>
    <w:p w:rsidR="00FD1E25" w:rsidRDefault="00FD1E25" w:rsidP="00FD1E25">
      <w:pPr>
        <w:rPr>
          <w:rFonts w:ascii="Book Antiqua" w:hAnsi="Book Antiqua"/>
        </w:rPr>
      </w:pPr>
      <w:r>
        <w:rPr>
          <w:rFonts w:ascii="Book Antiqua" w:hAnsi="Book Antiqua"/>
        </w:rPr>
        <w:t>Në linkun më poshtë mund të gjeni listën e programeve studimore të ofruara:</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hyperlink r:id="rId8" w:history="1">
        <w:r>
          <w:rPr>
            <w:rStyle w:val="Hyperlink"/>
            <w:rFonts w:ascii="Book Antiqua" w:hAnsi="Book Antiqua"/>
          </w:rPr>
          <w:t>http://www.tka.hu.international-programmes/2966.stipendium-hungaricum/</w:t>
        </w:r>
      </w:hyperlink>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Bursa  do të përshijë: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b/>
        </w:rPr>
        <w:t xml:space="preserve">Pagesën e shkollimit </w:t>
      </w:r>
      <w:r>
        <w:rPr>
          <w:rFonts w:ascii="Book Antiqua" w:hAnsi="Book Antiqua"/>
        </w:rPr>
        <w:t xml:space="preserve">– studentët lirohen nga pagesa e tarifës së shkollimit    </w:t>
      </w:r>
    </w:p>
    <w:p w:rsidR="00FD1E25" w:rsidRDefault="00FD1E25" w:rsidP="00FD1E25">
      <w:pPr>
        <w:ind w:left="360"/>
        <w:rPr>
          <w:rFonts w:ascii="Book Antiqua" w:hAnsi="Book Antiqua"/>
        </w:rPr>
      </w:pPr>
    </w:p>
    <w:p w:rsidR="00FD1E25" w:rsidRDefault="00FD1E25" w:rsidP="00FD1E25">
      <w:pPr>
        <w:ind w:left="360"/>
        <w:rPr>
          <w:rFonts w:ascii="Book Antiqua" w:hAnsi="Book Antiqua"/>
          <w:b/>
        </w:rPr>
      </w:pPr>
      <w:r>
        <w:rPr>
          <w:rFonts w:ascii="Book Antiqua" w:hAnsi="Book Antiqua"/>
          <w:b/>
        </w:rPr>
        <w:t xml:space="preserve">Bursë mujore: </w:t>
      </w:r>
    </w:p>
    <w:p w:rsidR="00FD1E25" w:rsidRDefault="00FD1E25" w:rsidP="00FD1E25">
      <w:pPr>
        <w:ind w:left="360"/>
        <w:rPr>
          <w:rFonts w:ascii="Book Antiqua" w:hAnsi="Book Antiqua"/>
        </w:rPr>
      </w:pPr>
      <w:r>
        <w:rPr>
          <w:rFonts w:ascii="Book Antiqua" w:hAnsi="Book Antiqua"/>
        </w:rPr>
        <w:t xml:space="preserve">-niveli baçelor dhe master, c: HUF 40 460 mujore (cca 130 Euro) kontribut për shpenzimet e jetesës,  për 12 muaj në vit, deri në përfundim të studimeve. </w:t>
      </w:r>
    </w:p>
    <w:p w:rsidR="00FD1E25" w:rsidRDefault="00FD1E25" w:rsidP="00FD1E25">
      <w:pPr>
        <w:ind w:left="360"/>
        <w:rPr>
          <w:rFonts w:ascii="Book Antiqua" w:hAnsi="Book Antiqua"/>
        </w:rPr>
      </w:pPr>
      <w:r>
        <w:rPr>
          <w:rFonts w:ascii="Book Antiqua" w:hAnsi="Book Antiqua"/>
        </w:rPr>
        <w:t xml:space="preserve">-niveli i doktoratës: sipas legjislacionit aktual të Hungarisë, për momentin është HUF 100 000 mujore (cca 325 Euro) – për 12 muaj në vit, deri në përfundim të studimeve – por legjislacioni pritet  duhet të ndryshohet, dhe rrjedhimisht shuma pritet të ngritet.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b/>
        </w:rPr>
        <w:t>Akomodimi</w:t>
      </w:r>
      <w:r>
        <w:rPr>
          <w:rFonts w:ascii="Book Antiqua" w:hAnsi="Book Antiqua"/>
        </w:rPr>
        <w:t xml:space="preserve">: në konviktin e studentëve ose kontributi i HUF 30 000 për shpenzimet e akomodimit për gjithë kohëzgjatjen e periudhës së bursës.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b/>
        </w:rPr>
        <w:t>Sigurimi mjekësor</w:t>
      </w:r>
      <w:r>
        <w:rPr>
          <w:rFonts w:ascii="Book Antiqua" w:hAnsi="Book Antiqua"/>
        </w:rPr>
        <w:t>: shërbimet e kujdesit shëndetësor sipas legjislacionit relevant Hungarez (Akti no. 80 i vitit 1997, karta e sigurimit shëndetësor kombëtar) dhe sigurimi shtesë mjekësor.</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Aplikacionet dhe të gjitha dokumentet relevante duhet të dërgohen on line në këtë link: </w:t>
      </w:r>
    </w:p>
    <w:p w:rsidR="00FD1E25" w:rsidRDefault="00FD1E25" w:rsidP="00FD1E25">
      <w:pPr>
        <w:ind w:left="360"/>
        <w:rPr>
          <w:rFonts w:ascii="Book Antiqua" w:hAnsi="Book Antiqua"/>
        </w:rPr>
      </w:pPr>
      <w:r>
        <w:rPr>
          <w:rFonts w:ascii="Book Antiqua" w:hAnsi="Book Antiqua"/>
        </w:rPr>
        <w:t xml:space="preserve">  </w:t>
      </w:r>
    </w:p>
    <w:p w:rsidR="00FD1E25" w:rsidRDefault="00FD1E25" w:rsidP="00FD1E25">
      <w:pPr>
        <w:ind w:left="360"/>
        <w:rPr>
          <w:rFonts w:ascii="Book Antiqua" w:hAnsi="Book Antiqua"/>
        </w:rPr>
      </w:pPr>
      <w:hyperlink r:id="rId9" w:history="1">
        <w:r>
          <w:rPr>
            <w:rStyle w:val="Hyperlink"/>
            <w:rFonts w:ascii="Book Antiqua" w:hAnsi="Book Antiqua"/>
          </w:rPr>
          <w:t>http://www</w:t>
        </w:r>
        <w:bookmarkStart w:id="0" w:name="_GoBack"/>
        <w:bookmarkEnd w:id="0"/>
        <w:r>
          <w:rPr>
            <w:rStyle w:val="Hyperlink"/>
            <w:rFonts w:ascii="Book Antiqua" w:hAnsi="Book Antiqua"/>
          </w:rPr>
          <w:t>.tka.hu/international-programmes/2966/stipendium-hungaricum/</w:t>
        </w:r>
      </w:hyperlink>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dhe në në zarf në Ministrinë e Arsimit, Shkencës dhe Teknologjisë me këtë shënim: </w:t>
      </w:r>
    </w:p>
    <w:p w:rsidR="00FD1E25" w:rsidRDefault="00FD1E25" w:rsidP="00FD1E25">
      <w:pPr>
        <w:ind w:left="360"/>
        <w:rPr>
          <w:rFonts w:ascii="Book Antiqua" w:hAnsi="Book Antiqua"/>
        </w:rPr>
      </w:pPr>
    </w:p>
    <w:p w:rsidR="00FD1E25" w:rsidRDefault="00FD1E25" w:rsidP="00FD1E25">
      <w:pPr>
        <w:ind w:left="360"/>
        <w:rPr>
          <w:rFonts w:ascii="Book Antiqua" w:hAnsi="Book Antiqua"/>
          <w:b/>
        </w:rPr>
      </w:pPr>
      <w:r>
        <w:rPr>
          <w:rFonts w:ascii="Book Antiqua" w:hAnsi="Book Antiqua"/>
          <w:b/>
        </w:rPr>
        <w:t xml:space="preserve">Hungary’s scholarship “Stipendium Hungaricum” application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Për: Znj. Hanëmsha Aliu-Latifi, </w:t>
      </w:r>
    </w:p>
    <w:p w:rsidR="00FD1E25" w:rsidRDefault="00FD1E25" w:rsidP="00FD1E25">
      <w:pPr>
        <w:ind w:left="360"/>
        <w:rPr>
          <w:rFonts w:ascii="Book Antiqua" w:hAnsi="Book Antiqua"/>
        </w:rPr>
      </w:pPr>
      <w:r>
        <w:rPr>
          <w:rFonts w:ascii="Book Antiqua" w:hAnsi="Book Antiqua"/>
        </w:rPr>
        <w:t>Udhëheqëse e Divizionit për Integrime Evropiane – MASHT</w:t>
      </w:r>
    </w:p>
    <w:p w:rsidR="00FD1E25" w:rsidRDefault="00FD1E25" w:rsidP="00FD1E25">
      <w:pPr>
        <w:ind w:left="360"/>
        <w:rPr>
          <w:rFonts w:ascii="Book Antiqua" w:hAnsi="Book Antiqua"/>
        </w:rPr>
      </w:pPr>
      <w:r>
        <w:rPr>
          <w:rFonts w:ascii="Book Antiqua" w:hAnsi="Book Antiqua"/>
        </w:rPr>
        <w:t>Ministria e Arsimit, Shkencës dhe Teknologjisë</w:t>
      </w:r>
    </w:p>
    <w:p w:rsidR="00FD1E25" w:rsidRDefault="00FD1E25" w:rsidP="00FD1E25">
      <w:pPr>
        <w:ind w:left="360"/>
        <w:rPr>
          <w:rFonts w:ascii="Book Antiqua" w:hAnsi="Book Antiqua"/>
        </w:rPr>
      </w:pPr>
      <w:r>
        <w:rPr>
          <w:rFonts w:ascii="Book Antiqua" w:hAnsi="Book Antiqua"/>
        </w:rPr>
        <w:t>Zyra 103, Arkiva e Ministrisë</w:t>
      </w:r>
    </w:p>
    <w:p w:rsidR="00FD1E25" w:rsidRDefault="00FD1E25" w:rsidP="00FD1E25">
      <w:pPr>
        <w:ind w:left="360"/>
        <w:rPr>
          <w:rFonts w:ascii="Book Antiqua" w:hAnsi="Book Antiqua"/>
        </w:rPr>
      </w:pPr>
      <w:r>
        <w:rPr>
          <w:rFonts w:ascii="Book Antiqua" w:hAnsi="Book Antiqua"/>
        </w:rPr>
        <w:t xml:space="preserve">Email: </w:t>
      </w:r>
      <w:hyperlink r:id="rId10" w:history="1">
        <w:r>
          <w:rPr>
            <w:rStyle w:val="Hyperlink"/>
            <w:rFonts w:ascii="Book Antiqua" w:hAnsi="Book Antiqua"/>
          </w:rPr>
          <w:t>hanemsha.latifi@rks-gov.net</w:t>
        </w:r>
      </w:hyperlink>
      <w:r>
        <w:rPr>
          <w:rFonts w:ascii="Book Antiqua" w:hAnsi="Book Antiqua"/>
        </w:rPr>
        <w:t xml:space="preserve"> </w:t>
      </w:r>
    </w:p>
    <w:p w:rsidR="00FD1E25" w:rsidRDefault="00FD1E25" w:rsidP="00FD1E25">
      <w:pPr>
        <w:ind w:left="360"/>
        <w:rPr>
          <w:rFonts w:ascii="Book Antiqua" w:hAnsi="Book Antiqua"/>
        </w:rPr>
      </w:pPr>
      <w:r>
        <w:rPr>
          <w:rFonts w:ascii="Book Antiqua" w:hAnsi="Book Antiqua"/>
        </w:rPr>
        <w:t>Tel: +3813820020062</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Nëse ju nevojiten më shumë informata sa i përket skemës së bursave, ju mund të kontaktoni pikën qendrore të Ministrisë për Bursat Hungareze  “Hungaricum Stipendium”;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Prof. Dr. Hysen Bytyqi</w:t>
      </w:r>
    </w:p>
    <w:p w:rsidR="00FD1E25" w:rsidRDefault="00FD1E25" w:rsidP="00FD1E25">
      <w:pPr>
        <w:ind w:left="360"/>
        <w:rPr>
          <w:rFonts w:ascii="Book Antiqua" w:hAnsi="Book Antiqua"/>
        </w:rPr>
      </w:pPr>
      <w:r>
        <w:rPr>
          <w:rFonts w:ascii="Book Antiqua" w:hAnsi="Book Antiqua"/>
        </w:rPr>
        <w:t>Këshilltar i Ministrit</w:t>
      </w:r>
    </w:p>
    <w:p w:rsidR="00FD1E25" w:rsidRDefault="00FD1E25" w:rsidP="00FD1E25">
      <w:pPr>
        <w:ind w:left="360"/>
        <w:rPr>
          <w:rFonts w:ascii="Book Antiqua" w:hAnsi="Book Antiqua"/>
        </w:rPr>
      </w:pPr>
      <w:r>
        <w:rPr>
          <w:rFonts w:ascii="Book Antiqua" w:hAnsi="Book Antiqua"/>
        </w:rPr>
        <w:t xml:space="preserve">Ministria e Arsimit, Shkencës dhe Teknologjisë </w:t>
      </w:r>
    </w:p>
    <w:p w:rsidR="00FD1E25" w:rsidRDefault="00FD1E25" w:rsidP="00FD1E25">
      <w:pPr>
        <w:ind w:left="360"/>
        <w:rPr>
          <w:rFonts w:ascii="Book Antiqua" w:hAnsi="Book Antiqua"/>
        </w:rPr>
      </w:pPr>
      <w:r>
        <w:rPr>
          <w:rFonts w:ascii="Book Antiqua" w:hAnsi="Book Antiqua"/>
        </w:rPr>
        <w:lastRenderedPageBreak/>
        <w:t>Tel: +38138213939 (20071)</w:t>
      </w:r>
    </w:p>
    <w:p w:rsidR="00FD1E25" w:rsidRDefault="00FD1E25" w:rsidP="00FD1E25">
      <w:pPr>
        <w:ind w:left="360"/>
        <w:rPr>
          <w:rFonts w:ascii="Book Antiqua" w:hAnsi="Book Antiqua"/>
        </w:rPr>
      </w:pPr>
      <w:r>
        <w:rPr>
          <w:rFonts w:ascii="Book Antiqua" w:hAnsi="Book Antiqua"/>
        </w:rPr>
        <w:t xml:space="preserve">Email: </w:t>
      </w:r>
      <w:hyperlink r:id="rId11" w:history="1">
        <w:r>
          <w:rPr>
            <w:rStyle w:val="Hyperlink"/>
            <w:rFonts w:ascii="Book Antiqua" w:hAnsi="Book Antiqua"/>
          </w:rPr>
          <w:t>hysen.bytyqi@rks.gov.net</w:t>
        </w:r>
      </w:hyperlink>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Aplikacionet mund të dërgohen deri më </w:t>
      </w:r>
      <w:r>
        <w:rPr>
          <w:rFonts w:ascii="Book Antiqua" w:hAnsi="Book Antiqua"/>
          <w:b/>
        </w:rPr>
        <w:t>16 mars</w:t>
      </w:r>
      <w:r>
        <w:rPr>
          <w:rFonts w:ascii="Book Antiqua" w:hAnsi="Book Antiqua"/>
        </w:rPr>
        <w:t xml:space="preserve">, rundi i parë i selektimit është në mars. Aplikantët do të informohen rreth rezultatit të raundit të parë të selektimit jo më vonë se </w:t>
      </w:r>
      <w:r>
        <w:rPr>
          <w:rFonts w:ascii="Book Antiqua" w:hAnsi="Book Antiqua"/>
          <w:b/>
        </w:rPr>
        <w:t>data 5 prill 2016.</w:t>
      </w:r>
      <w:r>
        <w:rPr>
          <w:rFonts w:ascii="Book Antiqua" w:hAnsi="Book Antiqua"/>
        </w:rPr>
        <w:t xml:space="preserve"> Aplikantët do të informohen rreth rezultatit final të aplikimit jo më vonë se data </w:t>
      </w:r>
      <w:r>
        <w:rPr>
          <w:rFonts w:ascii="Book Antiqua" w:hAnsi="Book Antiqua"/>
          <w:b/>
        </w:rPr>
        <w:t>22 qershori 2016</w:t>
      </w:r>
      <w:r>
        <w:rPr>
          <w:rFonts w:ascii="Book Antiqua" w:hAnsi="Book Antiqua"/>
        </w:rPr>
        <w:t xml:space="preserve">.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Para fillimit të studimeve të arsimit të lartë në gjuhën hungareze, studentët do të marrin pjesë në një kurs përgatitor një vjeçar, i siguruar nga pala hungareze në institutionet pritëse të arsmit të lartë. Studentët që aplikojnë për programet në gjuhë të huaj duhet  të kanë një njohuri të duhur të asaj gjuhe në një nivel të caktuar që është  definuar nga institucioni pritës. Bursa do të jepet pas kalimit me sukses të provimit pranues tek institucioni pritës.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Secili aplikant ka të drejtë për të aplikuar deri në tri programe të ndryshme studimi, sipas preferencës. Pas paraqitjes së aplikimit, radha e preferencës nuk mund të ndryshohet nga aplikuesi.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Aplikacionet do të konsiderohen si të pranueshme nëse aplikanti nominohet nga autoritetet përgjegjëse të partnerit dërgues, që është MASHT-i në Kosovë.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b/>
        </w:rPr>
        <w:t>Applikacionet nuk do të mirren parasysh në rastet vijuese</w:t>
      </w:r>
      <w:r>
        <w:rPr>
          <w:rFonts w:ascii="Book Antiqua" w:hAnsi="Book Antiqua"/>
        </w:rPr>
        <w:t>:</w:t>
      </w:r>
    </w:p>
    <w:p w:rsidR="00FD1E25" w:rsidRDefault="00FD1E25" w:rsidP="00FD1E25">
      <w:pPr>
        <w:ind w:left="360"/>
        <w:rPr>
          <w:rFonts w:ascii="Book Antiqua" w:hAnsi="Book Antiqua"/>
        </w:rPr>
      </w:pPr>
    </w:p>
    <w:p w:rsidR="00FD1E25" w:rsidRDefault="00FD1E25" w:rsidP="00FD1E25">
      <w:pPr>
        <w:pStyle w:val="ListParagraph"/>
        <w:numPr>
          <w:ilvl w:val="0"/>
          <w:numId w:val="4"/>
        </w:numPr>
        <w:jc w:val="both"/>
        <w:rPr>
          <w:rFonts w:ascii="Book Antiqua" w:hAnsi="Book Antiqua"/>
        </w:rPr>
      </w:pPr>
      <w:r>
        <w:rPr>
          <w:rFonts w:ascii="Book Antiqua" w:hAnsi="Book Antiqua"/>
        </w:rPr>
        <w:t xml:space="preserve">Për qytetarët hungarez (përfshirë ata me shtetësi të dyfishtë), </w:t>
      </w:r>
    </w:p>
    <w:p w:rsidR="00FD1E25" w:rsidRDefault="00FD1E25" w:rsidP="00FD1E25">
      <w:pPr>
        <w:pStyle w:val="ListParagraph"/>
        <w:numPr>
          <w:ilvl w:val="0"/>
          <w:numId w:val="4"/>
        </w:numPr>
        <w:jc w:val="both"/>
        <w:rPr>
          <w:rFonts w:ascii="Book Antiqua" w:hAnsi="Book Antiqua"/>
        </w:rPr>
      </w:pPr>
      <w:r>
        <w:rPr>
          <w:rFonts w:ascii="Book Antiqua" w:hAnsi="Book Antiqua"/>
        </w:rPr>
        <w:t xml:space="preserve">Ish përfituesit mbajtësit e bursave “Stipendium Hungaricum”, të cilët ri-aplikojnë për studime në ciklin e njëjtë të arsimit (p.sh. baçelor, master, doktoraturë),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Nëse keni pyetje të tjera, ju lutem mos hezitoni të kontaktoni Z. Tamas Gergely, diplomatin përgjegjës në Ambasadë: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Tamas Gergely </w:t>
      </w:r>
    </w:p>
    <w:p w:rsidR="00FD1E25" w:rsidRDefault="00FD1E25" w:rsidP="00FD1E25">
      <w:pPr>
        <w:ind w:left="360"/>
        <w:rPr>
          <w:rFonts w:ascii="Book Antiqua" w:hAnsi="Book Antiqua"/>
        </w:rPr>
      </w:pPr>
      <w:r>
        <w:rPr>
          <w:rFonts w:ascii="Book Antiqua" w:hAnsi="Book Antiqua"/>
        </w:rPr>
        <w:t xml:space="preserve">Sekretar i parë </w:t>
      </w:r>
    </w:p>
    <w:p w:rsidR="00FD1E25" w:rsidRDefault="00FD1E25" w:rsidP="00FD1E25">
      <w:pPr>
        <w:ind w:left="360"/>
        <w:rPr>
          <w:rFonts w:ascii="Book Antiqua" w:hAnsi="Book Antiqua"/>
        </w:rPr>
      </w:pPr>
      <w:r>
        <w:rPr>
          <w:rFonts w:ascii="Book Antiqua" w:hAnsi="Book Antiqua"/>
        </w:rPr>
        <w:t xml:space="preserve">Amabasada e Hungarisë </w:t>
      </w:r>
    </w:p>
    <w:p w:rsidR="00FD1E25" w:rsidRDefault="00FD1E25" w:rsidP="00FD1E25">
      <w:pPr>
        <w:ind w:left="360"/>
        <w:rPr>
          <w:rFonts w:ascii="Book Antiqua" w:hAnsi="Book Antiqua"/>
        </w:rPr>
      </w:pPr>
      <w:r>
        <w:rPr>
          <w:rFonts w:ascii="Book Antiqua" w:hAnsi="Book Antiqua"/>
        </w:rPr>
        <w:t xml:space="preserve">Prishtinë </w:t>
      </w:r>
    </w:p>
    <w:p w:rsidR="00FD1E25" w:rsidRDefault="00FD1E25" w:rsidP="00FD1E25">
      <w:pPr>
        <w:ind w:left="360"/>
        <w:rPr>
          <w:rFonts w:ascii="Book Antiqua" w:hAnsi="Book Antiqua"/>
        </w:rPr>
      </w:pPr>
    </w:p>
    <w:p w:rsidR="00FD1E25" w:rsidRDefault="00FD1E25" w:rsidP="00FD1E25">
      <w:pPr>
        <w:ind w:left="360"/>
        <w:rPr>
          <w:rFonts w:ascii="Book Antiqua" w:hAnsi="Book Antiqua"/>
        </w:rPr>
      </w:pPr>
      <w:r>
        <w:rPr>
          <w:rFonts w:ascii="Book Antiqua" w:hAnsi="Book Antiqua"/>
        </w:rPr>
        <w:t xml:space="preserve">Email: </w:t>
      </w:r>
      <w:hyperlink r:id="rId12" w:history="1">
        <w:r>
          <w:rPr>
            <w:rStyle w:val="Hyperlink"/>
            <w:rFonts w:ascii="Book Antiqua" w:hAnsi="Book Antiqua"/>
          </w:rPr>
          <w:t>tamas.gergely@mfa.gov.hu</w:t>
        </w:r>
      </w:hyperlink>
    </w:p>
    <w:p w:rsidR="00FD1E25" w:rsidRDefault="00FD1E25" w:rsidP="00FD1E25">
      <w:pPr>
        <w:ind w:left="360"/>
        <w:rPr>
          <w:rFonts w:ascii="Book Antiqua" w:hAnsi="Book Antiqua"/>
        </w:rPr>
      </w:pPr>
      <w:r>
        <w:rPr>
          <w:rFonts w:ascii="Book Antiqua" w:hAnsi="Book Antiqua"/>
        </w:rPr>
        <w:t>Tel: +381 38 247 763</w:t>
      </w:r>
    </w:p>
    <w:p w:rsidR="00FD1E25" w:rsidRDefault="00FD1E25" w:rsidP="00FD1E25">
      <w:pPr>
        <w:ind w:left="360"/>
        <w:rPr>
          <w:rFonts w:ascii="Book Antiqua" w:hAnsi="Book Antiqua"/>
        </w:rPr>
      </w:pPr>
      <w:r>
        <w:rPr>
          <w:rFonts w:ascii="Book Antiqua" w:hAnsi="Book Antiqua"/>
        </w:rPr>
        <w:t>Mob: + 386 49 744 055</w:t>
      </w:r>
    </w:p>
    <w:p w:rsidR="00FD1E25" w:rsidRDefault="00FD1E25" w:rsidP="00FD1E25">
      <w:pPr>
        <w:ind w:left="360"/>
        <w:rPr>
          <w:rFonts w:ascii="Book Antiqua" w:hAnsi="Book Antiqua"/>
        </w:rPr>
      </w:pPr>
    </w:p>
    <w:p w:rsidR="00FD1E25" w:rsidRDefault="00FD1E25" w:rsidP="00FD1E25">
      <w:pPr>
        <w:rPr>
          <w:rFonts w:ascii="Book Antiqua" w:hAnsi="Book Antiqua"/>
        </w:rPr>
      </w:pPr>
    </w:p>
    <w:p w:rsidR="00AB563B" w:rsidRPr="00A8547A" w:rsidRDefault="00EA4234" w:rsidP="00077828">
      <w:pPr>
        <w:jc w:val="center"/>
        <w:rPr>
          <w:rFonts w:ascii="Book Antiqua" w:hAnsi="Book Antiqua" w:cs="Calibri"/>
        </w:rPr>
      </w:pPr>
      <w:r w:rsidRPr="00A8547A">
        <w:rPr>
          <w:rFonts w:ascii="Book Antiqua" w:hAnsi="Book Antiqua" w:cs="Calibri"/>
        </w:rPr>
        <w:t xml:space="preserve"> </w:t>
      </w:r>
    </w:p>
    <w:sectPr w:rsidR="00AB563B" w:rsidRPr="00A8547A" w:rsidSect="008C55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D07" w:rsidRDefault="00A54D07" w:rsidP="00F869E8">
      <w:r>
        <w:separator/>
      </w:r>
    </w:p>
  </w:endnote>
  <w:endnote w:type="continuationSeparator" w:id="0">
    <w:p w:rsidR="00A54D07" w:rsidRDefault="00A54D07" w:rsidP="00F869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D07" w:rsidRDefault="00A54D07" w:rsidP="00F869E8">
      <w:r>
        <w:separator/>
      </w:r>
    </w:p>
  </w:footnote>
  <w:footnote w:type="continuationSeparator" w:id="0">
    <w:p w:rsidR="00A54D07" w:rsidRDefault="00A54D07" w:rsidP="00F86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2E38"/>
    <w:multiLevelType w:val="hybridMultilevel"/>
    <w:tmpl w:val="0DA0FA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3D0D15"/>
    <w:multiLevelType w:val="hybridMultilevel"/>
    <w:tmpl w:val="760E89DA"/>
    <w:lvl w:ilvl="0" w:tplc="7F7893A4">
      <w:start w:val="3"/>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732ABE"/>
    <w:multiLevelType w:val="hybridMultilevel"/>
    <w:tmpl w:val="0406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F52EA"/>
    <w:multiLevelType w:val="hybridMultilevel"/>
    <w:tmpl w:val="8D5CA1DC"/>
    <w:lvl w:ilvl="0" w:tplc="04090001">
      <w:start w:val="1"/>
      <w:numFmt w:val="bullet"/>
      <w:lvlText w:val=""/>
      <w:lvlJc w:val="left"/>
      <w:pPr>
        <w:tabs>
          <w:tab w:val="num" w:pos="1170"/>
        </w:tabs>
        <w:ind w:left="1170" w:hanging="360"/>
      </w:pPr>
      <w:rPr>
        <w:rFonts w:ascii="Symbol" w:hAnsi="Symbol" w:hint="default"/>
      </w:rPr>
    </w:lvl>
    <w:lvl w:ilvl="1" w:tplc="238652E4">
      <w:start w:val="26"/>
      <w:numFmt w:val="bullet"/>
      <w:lvlText w:val="-"/>
      <w:lvlJc w:val="left"/>
      <w:pPr>
        <w:tabs>
          <w:tab w:val="num" w:pos="3330"/>
        </w:tabs>
        <w:ind w:left="3330" w:hanging="360"/>
      </w:pPr>
      <w:rPr>
        <w:rFonts w:ascii="Times New Roman" w:eastAsia="Times New Roman" w:hAnsi="Times New Roman" w:cs="Times New Roman"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0FE5"/>
    <w:rsid w:val="0005415A"/>
    <w:rsid w:val="00077828"/>
    <w:rsid w:val="00082EC3"/>
    <w:rsid w:val="00160B13"/>
    <w:rsid w:val="0017442C"/>
    <w:rsid w:val="00261CCB"/>
    <w:rsid w:val="002A76F3"/>
    <w:rsid w:val="002D17CF"/>
    <w:rsid w:val="002E5B0E"/>
    <w:rsid w:val="003A0617"/>
    <w:rsid w:val="003E1F68"/>
    <w:rsid w:val="003E3970"/>
    <w:rsid w:val="004104B1"/>
    <w:rsid w:val="004264C1"/>
    <w:rsid w:val="00436421"/>
    <w:rsid w:val="00450945"/>
    <w:rsid w:val="004C72E9"/>
    <w:rsid w:val="00510824"/>
    <w:rsid w:val="005A30AB"/>
    <w:rsid w:val="005F588A"/>
    <w:rsid w:val="00614BD2"/>
    <w:rsid w:val="006734E3"/>
    <w:rsid w:val="0069102C"/>
    <w:rsid w:val="006C5662"/>
    <w:rsid w:val="007F3122"/>
    <w:rsid w:val="00846525"/>
    <w:rsid w:val="008B143E"/>
    <w:rsid w:val="008C5522"/>
    <w:rsid w:val="008E1182"/>
    <w:rsid w:val="00A16F89"/>
    <w:rsid w:val="00A32352"/>
    <w:rsid w:val="00A51C3E"/>
    <w:rsid w:val="00A54D07"/>
    <w:rsid w:val="00A8547A"/>
    <w:rsid w:val="00AB3225"/>
    <w:rsid w:val="00AB563B"/>
    <w:rsid w:val="00B16B14"/>
    <w:rsid w:val="00B64F0D"/>
    <w:rsid w:val="00B723C5"/>
    <w:rsid w:val="00B7437A"/>
    <w:rsid w:val="00B774F3"/>
    <w:rsid w:val="00BB7C0A"/>
    <w:rsid w:val="00C00FE5"/>
    <w:rsid w:val="00C74E39"/>
    <w:rsid w:val="00D45B06"/>
    <w:rsid w:val="00D56EAF"/>
    <w:rsid w:val="00DA2CF2"/>
    <w:rsid w:val="00DA40AF"/>
    <w:rsid w:val="00DC58AD"/>
    <w:rsid w:val="00DF059A"/>
    <w:rsid w:val="00E90442"/>
    <w:rsid w:val="00E9758A"/>
    <w:rsid w:val="00EA21A1"/>
    <w:rsid w:val="00EA4234"/>
    <w:rsid w:val="00F111A4"/>
    <w:rsid w:val="00F265AA"/>
    <w:rsid w:val="00F43C3A"/>
    <w:rsid w:val="00F825A7"/>
    <w:rsid w:val="00F869E8"/>
    <w:rsid w:val="00FA0F0A"/>
    <w:rsid w:val="00FA1087"/>
    <w:rsid w:val="00FD1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F2"/>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2CF2"/>
    <w:rPr>
      <w:i/>
      <w:iCs/>
    </w:rPr>
  </w:style>
  <w:style w:type="paragraph" w:customStyle="1" w:styleId="Default">
    <w:name w:val="Default"/>
    <w:rsid w:val="00F869E8"/>
    <w:pPr>
      <w:autoSpaceDE w:val="0"/>
      <w:autoSpaceDN w:val="0"/>
      <w:adjustRightInd w:val="0"/>
      <w:spacing w:after="0" w:line="240" w:lineRule="auto"/>
    </w:pPr>
    <w:rPr>
      <w:rFonts w:ascii="Calibri" w:eastAsia="MS Mincho" w:hAnsi="Calibri" w:cs="Calibri"/>
      <w:color w:val="000000"/>
      <w:sz w:val="24"/>
      <w:szCs w:val="24"/>
      <w:lang w:eastAsia="ja-JP"/>
    </w:rPr>
  </w:style>
  <w:style w:type="paragraph" w:styleId="Header">
    <w:name w:val="header"/>
    <w:basedOn w:val="Normal"/>
    <w:link w:val="HeaderChar"/>
    <w:uiPriority w:val="99"/>
    <w:unhideWhenUsed/>
    <w:rsid w:val="00F869E8"/>
    <w:pPr>
      <w:tabs>
        <w:tab w:val="center" w:pos="4680"/>
        <w:tab w:val="right" w:pos="9360"/>
      </w:tabs>
    </w:pPr>
  </w:style>
  <w:style w:type="character" w:customStyle="1" w:styleId="HeaderChar">
    <w:name w:val="Header Char"/>
    <w:basedOn w:val="DefaultParagraphFont"/>
    <w:link w:val="Header"/>
    <w:uiPriority w:val="99"/>
    <w:rsid w:val="00F869E8"/>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F869E8"/>
    <w:pPr>
      <w:tabs>
        <w:tab w:val="center" w:pos="4680"/>
        <w:tab w:val="right" w:pos="9360"/>
      </w:tabs>
    </w:pPr>
  </w:style>
  <w:style w:type="character" w:customStyle="1" w:styleId="FooterChar">
    <w:name w:val="Footer Char"/>
    <w:basedOn w:val="DefaultParagraphFont"/>
    <w:link w:val="Footer"/>
    <w:uiPriority w:val="99"/>
    <w:rsid w:val="00F869E8"/>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EA4234"/>
    <w:rPr>
      <w:rFonts w:ascii="Tahoma" w:hAnsi="Tahoma" w:cs="Tahoma"/>
      <w:sz w:val="16"/>
      <w:szCs w:val="16"/>
    </w:rPr>
  </w:style>
  <w:style w:type="character" w:customStyle="1" w:styleId="BalloonTextChar">
    <w:name w:val="Balloon Text Char"/>
    <w:basedOn w:val="DefaultParagraphFont"/>
    <w:link w:val="BalloonText"/>
    <w:uiPriority w:val="99"/>
    <w:semiHidden/>
    <w:rsid w:val="00EA4234"/>
    <w:rPr>
      <w:rFonts w:ascii="Tahoma" w:eastAsia="Times New Roman" w:hAnsi="Tahoma" w:cs="Tahoma"/>
      <w:sz w:val="16"/>
      <w:szCs w:val="16"/>
      <w:lang w:val="sq-AL"/>
    </w:rPr>
  </w:style>
  <w:style w:type="paragraph" w:styleId="ListParagraph">
    <w:name w:val="List Paragraph"/>
    <w:basedOn w:val="Normal"/>
    <w:uiPriority w:val="34"/>
    <w:qFormat/>
    <w:rsid w:val="00A51C3E"/>
    <w:pPr>
      <w:ind w:left="720"/>
      <w:contextualSpacing/>
    </w:pPr>
  </w:style>
  <w:style w:type="table" w:styleId="TableGrid">
    <w:name w:val="Table Grid"/>
    <w:basedOn w:val="TableNormal"/>
    <w:uiPriority w:val="59"/>
    <w:rsid w:val="00B16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77828"/>
    <w:pPr>
      <w:spacing w:after="75"/>
    </w:pPr>
    <w:rPr>
      <w:lang w:val="en-US"/>
    </w:rPr>
  </w:style>
  <w:style w:type="character" w:styleId="Hyperlink">
    <w:name w:val="Hyperlink"/>
    <w:basedOn w:val="DefaultParagraphFont"/>
    <w:uiPriority w:val="99"/>
    <w:semiHidden/>
    <w:unhideWhenUsed/>
    <w:rsid w:val="00FD1E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F2"/>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2CF2"/>
    <w:rPr>
      <w:i/>
      <w:iCs/>
    </w:rPr>
  </w:style>
  <w:style w:type="paragraph" w:customStyle="1" w:styleId="Default">
    <w:name w:val="Default"/>
    <w:rsid w:val="00F869E8"/>
    <w:pPr>
      <w:autoSpaceDE w:val="0"/>
      <w:autoSpaceDN w:val="0"/>
      <w:adjustRightInd w:val="0"/>
      <w:spacing w:after="0" w:line="240" w:lineRule="auto"/>
    </w:pPr>
    <w:rPr>
      <w:rFonts w:ascii="Calibri" w:eastAsia="MS Mincho" w:hAnsi="Calibri" w:cs="Calibri"/>
      <w:color w:val="000000"/>
      <w:sz w:val="24"/>
      <w:szCs w:val="24"/>
      <w:lang w:eastAsia="ja-JP"/>
    </w:rPr>
  </w:style>
  <w:style w:type="paragraph" w:styleId="Header">
    <w:name w:val="header"/>
    <w:basedOn w:val="Normal"/>
    <w:link w:val="HeaderChar"/>
    <w:uiPriority w:val="99"/>
    <w:unhideWhenUsed/>
    <w:rsid w:val="00F869E8"/>
    <w:pPr>
      <w:tabs>
        <w:tab w:val="center" w:pos="4680"/>
        <w:tab w:val="right" w:pos="9360"/>
      </w:tabs>
    </w:pPr>
  </w:style>
  <w:style w:type="character" w:customStyle="1" w:styleId="HeaderChar">
    <w:name w:val="Header Char"/>
    <w:basedOn w:val="DefaultParagraphFont"/>
    <w:link w:val="Header"/>
    <w:uiPriority w:val="99"/>
    <w:rsid w:val="00F869E8"/>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F869E8"/>
    <w:pPr>
      <w:tabs>
        <w:tab w:val="center" w:pos="4680"/>
        <w:tab w:val="right" w:pos="9360"/>
      </w:tabs>
    </w:pPr>
  </w:style>
  <w:style w:type="character" w:customStyle="1" w:styleId="FooterChar">
    <w:name w:val="Footer Char"/>
    <w:basedOn w:val="DefaultParagraphFont"/>
    <w:link w:val="Footer"/>
    <w:uiPriority w:val="99"/>
    <w:rsid w:val="00F869E8"/>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EA4234"/>
    <w:rPr>
      <w:rFonts w:ascii="Tahoma" w:hAnsi="Tahoma" w:cs="Tahoma"/>
      <w:sz w:val="16"/>
      <w:szCs w:val="16"/>
    </w:rPr>
  </w:style>
  <w:style w:type="character" w:customStyle="1" w:styleId="BalloonTextChar">
    <w:name w:val="Balloon Text Char"/>
    <w:basedOn w:val="DefaultParagraphFont"/>
    <w:link w:val="BalloonText"/>
    <w:uiPriority w:val="99"/>
    <w:semiHidden/>
    <w:rsid w:val="00EA4234"/>
    <w:rPr>
      <w:rFonts w:ascii="Tahoma" w:eastAsia="Times New Roman" w:hAnsi="Tahoma" w:cs="Tahoma"/>
      <w:sz w:val="16"/>
      <w:szCs w:val="16"/>
      <w:lang w:val="sq-AL"/>
    </w:rPr>
  </w:style>
  <w:style w:type="paragraph" w:styleId="ListParagraph">
    <w:name w:val="List Paragraph"/>
    <w:basedOn w:val="Normal"/>
    <w:uiPriority w:val="34"/>
    <w:qFormat/>
    <w:rsid w:val="00A51C3E"/>
    <w:pPr>
      <w:ind w:left="720"/>
      <w:contextualSpacing/>
    </w:pPr>
  </w:style>
  <w:style w:type="table" w:styleId="TableGrid">
    <w:name w:val="Table Grid"/>
    <w:basedOn w:val="TableNormal"/>
    <w:uiPriority w:val="59"/>
    <w:rsid w:val="00B16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9153539">
      <w:bodyDiv w:val="1"/>
      <w:marLeft w:val="0"/>
      <w:marRight w:val="0"/>
      <w:marTop w:val="0"/>
      <w:marBottom w:val="0"/>
      <w:divBdr>
        <w:top w:val="none" w:sz="0" w:space="0" w:color="auto"/>
        <w:left w:val="none" w:sz="0" w:space="0" w:color="auto"/>
        <w:bottom w:val="none" w:sz="0" w:space="0" w:color="auto"/>
        <w:right w:val="none" w:sz="0" w:space="0" w:color="auto"/>
      </w:divBdr>
    </w:div>
    <w:div w:id="15171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ka.hu.international-programmes/2966.stipendium-hungaric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tamas.gergely@mfa.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ysen.bytyqi@rks.gov.ne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hanemsha.latifi@rks-gov.net" TargetMode="External"/><Relationship Id="rId4" Type="http://schemas.openxmlformats.org/officeDocument/2006/relationships/webSettings" Target="webSettings.xml"/><Relationship Id="rId9" Type="http://schemas.openxmlformats.org/officeDocument/2006/relationships/hyperlink" Target="http://www.tka.hu/international-programmes/2966/stipendium-hungaric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 Hasani</dc:creator>
  <cp:lastModifiedBy>anita.rukovci</cp:lastModifiedBy>
  <cp:revision>3</cp:revision>
  <dcterms:created xsi:type="dcterms:W3CDTF">2016-02-11T12:38:00Z</dcterms:created>
  <dcterms:modified xsi:type="dcterms:W3CDTF">2016-02-11T12:38:00Z</dcterms:modified>
</cp:coreProperties>
</file>