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7F" w:rsidRDefault="00526330">
      <w:pPr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6A7F" w:rsidRDefault="004A6A7F">
      <w:pPr>
        <w:rPr>
          <w:rFonts w:ascii="Book Antiqua" w:eastAsia="Book Antiqua" w:hAnsi="Book Antiqua" w:cs="Book Antiqua"/>
          <w:b/>
        </w:rPr>
      </w:pPr>
    </w:p>
    <w:p w:rsidR="004A6A7F" w:rsidRDefault="004A6A7F">
      <w:pPr>
        <w:rPr>
          <w:rFonts w:ascii="Book Antiqua" w:eastAsia="Book Antiqua" w:hAnsi="Book Antiqua" w:cs="Book Antiqua"/>
          <w:b/>
        </w:rPr>
      </w:pPr>
    </w:p>
    <w:p w:rsidR="004A6A7F" w:rsidRDefault="00526330">
      <w:pPr>
        <w:spacing w:after="0"/>
        <w:jc w:val="center"/>
        <w:rPr>
          <w:rFonts w:ascii="Book Antiqua" w:eastAsia="Book Antiqua" w:hAnsi="Book Antiqua" w:cs="Book Antiqua"/>
          <w:b/>
          <w:sz w:val="32"/>
          <w:szCs w:val="32"/>
        </w:rPr>
      </w:pPr>
      <w:bookmarkStart w:id="0" w:name="bookmark=id.gjdgxs" w:colFirst="0" w:colLast="0"/>
      <w:bookmarkEnd w:id="0"/>
      <w:r>
        <w:rPr>
          <w:rFonts w:ascii="Book Antiqua" w:eastAsia="Book Antiqua" w:hAnsi="Book Antiqua" w:cs="Book Antiqua"/>
          <w:b/>
          <w:sz w:val="32"/>
          <w:szCs w:val="32"/>
        </w:rPr>
        <w:t xml:space="preserve">   Republika e Kosovës</w:t>
      </w:r>
    </w:p>
    <w:p w:rsidR="004A6A7F" w:rsidRDefault="00526330">
      <w:pPr>
        <w:spacing w:after="0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Republika Kosova-Republic of Kosovo</w:t>
      </w:r>
    </w:p>
    <w:p w:rsidR="004A6A7F" w:rsidRDefault="00526330">
      <w:pPr>
        <w:spacing w:after="0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eastAsia="Book Antiqua" w:hAnsi="Book Antiqua" w:cs="Book Antiqua"/>
          <w:b/>
          <w:i/>
        </w:rPr>
        <w:t xml:space="preserve">          Qeveria –Vlada-Government</w:t>
      </w:r>
    </w:p>
    <w:p w:rsidR="004A6A7F" w:rsidRDefault="00526330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i/>
        </w:rPr>
        <w:t>Ministria e Arsimit, Shkencës, Teknologjisë dhe Inovacionit / Ministarstvo Obrazovanja,Nauke,Tehnologije i Inovacija / Ministry of Education,Science, Technology and Innovation</w:t>
      </w:r>
    </w:p>
    <w:p w:rsidR="004A6A7F" w:rsidRDefault="004A6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A7F" w:rsidRDefault="005263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Finansijska podrška projektima NVO koji podržavaju i promovišu učenike Rome, 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škalije i Egipćane u centrima za učenje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/>
        <w:t>Smernice za podnosioce prijava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Datum objavljivanja poziva: </w:t>
      </w:r>
      <w:r w:rsidR="00041B29" w:rsidRPr="00041B29">
        <w:rPr>
          <w:rFonts w:ascii="Times New Roman" w:eastAsia="Times New Roman" w:hAnsi="Times New Roman" w:cs="Times New Roman"/>
          <w:b/>
          <w:sz w:val="24"/>
          <w:szCs w:val="24"/>
        </w:rPr>
        <w:t>23. avgusta 2021.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Rok za podnošenje prijava: </w:t>
      </w:r>
      <w:r w:rsidR="00041B29" w:rsidRPr="00041B29">
        <w:rPr>
          <w:rFonts w:ascii="Times New Roman" w:eastAsia="Times New Roman" w:hAnsi="Times New Roman" w:cs="Times New Roman"/>
          <w:b/>
          <w:i/>
          <w:sz w:val="28"/>
          <w:szCs w:val="28"/>
        </w:rPr>
        <w:t>13. septembra 2021.</w:t>
      </w:r>
      <w:r w:rsidRPr="00041B2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041B29" w:rsidRPr="00041B29">
        <w:rPr>
          <w:rFonts w:ascii="Times New Roman" w:eastAsia="Times New Roman" w:hAnsi="Times New Roman" w:cs="Times New Roman"/>
          <w:b/>
          <w:sz w:val="28"/>
          <w:szCs w:val="28"/>
        </w:rPr>
        <w:t>u 16:00 časova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Times New Roman" w:eastAsia="Times New Roman" w:hAnsi="Times New Roman" w:cs="Times New Roman"/>
          <w:b/>
          <w:color w:val="36609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66091"/>
          <w:sz w:val="32"/>
          <w:szCs w:val="32"/>
        </w:rPr>
        <w:t>Sadržaj</w:t>
      </w:r>
    </w:p>
    <w:p w:rsidR="004A6A7F" w:rsidRDefault="004A6A7F"/>
    <w:sdt>
      <w:sdtPr>
        <w:id w:val="-708028541"/>
        <w:docPartObj>
          <w:docPartGallery w:val="Table of Contents"/>
          <w:docPartUnique/>
        </w:docPartObj>
      </w:sdtPr>
      <w:sdtEndPr/>
      <w:sdtContent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znysh7">
            <w:r>
              <w:rPr>
                <w:rFonts w:ascii="Times New Roman" w:eastAsia="Times New Roman" w:hAnsi="Times New Roman" w:cs="Times New Roman"/>
                <w:color w:val="000000"/>
              </w:rPr>
              <w:t>1. Finansijska podrška projektima NVO koji podržavaju i promovišu učenike Rome, Aškalije i Egipćane u centrima za učenje</w:t>
            </w:r>
          </w:hyperlink>
          <w:hyperlink w:anchor="_heading=h.3znysh7">
            <w:r>
              <w:rPr>
                <w:color w:val="000000"/>
              </w:rPr>
              <w:tab/>
              <w:t>3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et92p0">
            <w:r>
              <w:rPr>
                <w:rFonts w:ascii="Times New Roman" w:eastAsia="Times New Roman" w:hAnsi="Times New Roman" w:cs="Times New Roman"/>
                <w:color w:val="000000"/>
              </w:rPr>
              <w:t>1.1 PROBLEMI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KOJI ĆE BITI CILJENI OVIM POZIVOM</w:t>
            </w:r>
          </w:hyperlink>
          <w:hyperlink w:anchor="_heading=h.2et92p0">
            <w:r>
              <w:rPr>
                <w:color w:val="000000"/>
              </w:rPr>
              <w:tab/>
              <w:t>3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tyjcwt">
            <w:r>
              <w:rPr>
                <w:rFonts w:ascii="Times New Roman" w:eastAsia="Times New Roman" w:hAnsi="Times New Roman" w:cs="Times New Roman"/>
                <w:color w:val="000000"/>
              </w:rPr>
              <w:t>1.2 CILJEVI POZIVA I PRIORITETI ZA DODELU SREDSTAVA</w:t>
            </w:r>
          </w:hyperlink>
          <w:hyperlink w:anchor="_heading=h.tyjcwt">
            <w:r>
              <w:rPr>
                <w:color w:val="000000"/>
              </w:rPr>
              <w:tab/>
              <w:t>4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3dy6vkm">
            <w:r>
              <w:rPr>
                <w:rFonts w:ascii="Times New Roman" w:eastAsia="Times New Roman" w:hAnsi="Times New Roman" w:cs="Times New Roman"/>
                <w:color w:val="000000"/>
              </w:rPr>
              <w:t>1.3 PROJEKTOVANA VREDNOST FINANSIJSKE PODRŠKE ZA PROJEKTE I UKUPAN IZNOS POZIVA</w:t>
            </w:r>
          </w:hyperlink>
          <w:hyperlink w:anchor="_heading=h.3dy6vkm">
            <w:r>
              <w:rPr>
                <w:color w:val="000000"/>
              </w:rPr>
              <w:tab/>
              <w:t>4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1t3h5sf">
            <w:r>
              <w:rPr>
                <w:rFonts w:ascii="Times New Roman" w:eastAsia="Times New Roman" w:hAnsi="Times New Roman" w:cs="Times New Roman"/>
                <w:color w:val="000000"/>
              </w:rPr>
              <w:t>2. FORMALNI USLOVI POZIVA</w:t>
            </w:r>
          </w:hyperlink>
          <w:hyperlink w:anchor="_heading=h.1t3h5sf">
            <w:r>
              <w:rPr>
                <w:color w:val="000000"/>
              </w:rPr>
              <w:tab/>
              <w:t>4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4d34og8">
            <w:r>
              <w:rPr>
                <w:rFonts w:ascii="Times New Roman" w:eastAsia="Times New Roman" w:hAnsi="Times New Roman" w:cs="Times New Roman"/>
                <w:color w:val="000000"/>
              </w:rPr>
              <w:t>2.1. Podnosioci prijave koji ispunjavaju uslov: ko može da se prijavi?</w:t>
            </w:r>
          </w:hyperlink>
          <w:hyperlink w:anchor="_heading=h.4d34og8">
            <w:r>
              <w:rPr>
                <w:color w:val="000000"/>
              </w:rPr>
              <w:tab/>
              <w:t>5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s8eyo1">
            <w:r>
              <w:rPr>
                <w:rFonts w:ascii="Times New Roman" w:eastAsia="Times New Roman" w:hAnsi="Times New Roman" w:cs="Times New Roman"/>
                <w:color w:val="000000"/>
              </w:rPr>
              <w:t>2.2 Prihvatljivi partneri u realizaciji projekta/programa</w:t>
            </w:r>
          </w:hyperlink>
          <w:hyperlink w:anchor="_heading=h.2s8eyo1">
            <w:r>
              <w:rPr>
                <w:color w:val="000000"/>
              </w:rPr>
              <w:tab/>
              <w:t>5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17dp8vu">
            <w:r>
              <w:rPr>
                <w:rFonts w:ascii="Times New Roman" w:eastAsia="Times New Roman" w:hAnsi="Times New Roman" w:cs="Times New Roman"/>
                <w:color w:val="000000"/>
              </w:rPr>
              <w:t>2.3 Prihvatljive aktivnosti koje će se finansirati putem poziva</w:t>
            </w:r>
          </w:hyperlink>
          <w:hyperlink w:anchor="_heading=h.17dp8vu">
            <w:r>
              <w:rPr>
                <w:color w:val="000000"/>
              </w:rPr>
              <w:tab/>
              <w:t>6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3rdcrjn">
            <w:r>
              <w:rPr>
                <w:rFonts w:ascii="Times New Roman" w:eastAsia="Times New Roman" w:hAnsi="Times New Roman" w:cs="Times New Roman"/>
                <w:color w:val="000000"/>
              </w:rPr>
              <w:t>2.4 Prihvatljivi rashodi koji će se finansirati putem poziva</w:t>
            </w:r>
          </w:hyperlink>
          <w:hyperlink w:anchor="_heading=h.3rdcrjn">
            <w:r>
              <w:rPr>
                <w:color w:val="000000"/>
              </w:rPr>
              <w:tab/>
              <w:t>6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6in1rg">
            <w:r>
              <w:rPr>
                <w:rFonts w:ascii="Times New Roman" w:eastAsia="Times New Roman" w:hAnsi="Times New Roman" w:cs="Times New Roman"/>
                <w:color w:val="000000"/>
              </w:rPr>
              <w:t>2.4.1 Prihvatljivi direktni troškovi</w:t>
            </w:r>
          </w:hyperlink>
          <w:hyperlink w:anchor="_heading=h.26in1rg">
            <w:r>
              <w:rPr>
                <w:color w:val="000000"/>
              </w:rPr>
              <w:tab/>
              <w:t>7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35nkun2">
            <w:r>
              <w:rPr>
                <w:rFonts w:ascii="Times New Roman" w:eastAsia="Times New Roman" w:hAnsi="Times New Roman" w:cs="Times New Roman"/>
                <w:color w:val="000000"/>
              </w:rPr>
              <w:t>2.4.2 Prihvatljivi indirektni troškovi</w:t>
            </w:r>
          </w:hyperlink>
          <w:hyperlink w:anchor="_heading=h.35nkun2">
            <w:r>
              <w:rPr>
                <w:color w:val="000000"/>
              </w:rPr>
              <w:tab/>
              <w:t>7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1ksv4uv">
            <w:r>
              <w:rPr>
                <w:rFonts w:ascii="Times New Roman" w:eastAsia="Times New Roman" w:hAnsi="Times New Roman" w:cs="Times New Roman"/>
                <w:color w:val="000000"/>
              </w:rPr>
              <w:t>2.4.3 Neprihvatljivi troškovi</w:t>
            </w:r>
          </w:hyperlink>
          <w:hyperlink w:anchor="_heading=h.1ksv4uv">
            <w:r>
              <w:rPr>
                <w:color w:val="000000"/>
              </w:rPr>
              <w:tab/>
              <w:t>7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44sinio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KAKO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 PRIJAVITI?</w:t>
            </w:r>
          </w:hyperlink>
          <w:hyperlink w:anchor="_heading=h.44sinio">
            <w:r>
              <w:rPr>
                <w:color w:val="000000"/>
              </w:rPr>
              <w:tab/>
              <w:t>8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jxsxqh">
            <w:r>
              <w:rPr>
                <w:rFonts w:ascii="Times New Roman" w:eastAsia="Times New Roman" w:hAnsi="Times New Roman" w:cs="Times New Roman"/>
                <w:color w:val="000000"/>
              </w:rPr>
              <w:t>3.1  Prijava predloga projekta</w:t>
            </w:r>
          </w:hyperlink>
          <w:hyperlink w:anchor="_heading=h.2jxsxqh">
            <w:r>
              <w:rPr>
                <w:color w:val="000000"/>
              </w:rPr>
              <w:tab/>
              <w:t>8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z337ya">
            <w:r>
              <w:rPr>
                <w:rFonts w:ascii="Times New Roman" w:eastAsia="Times New Roman" w:hAnsi="Times New Roman" w:cs="Times New Roman"/>
                <w:color w:val="000000"/>
              </w:rPr>
              <w:t>3.2 Sadržaj obrasca budžeta</w:t>
            </w:r>
          </w:hyperlink>
          <w:hyperlink w:anchor="_heading=h.z337ya">
            <w:r>
              <w:rPr>
                <w:color w:val="000000"/>
              </w:rPr>
              <w:tab/>
              <w:t>9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3j2qqm3">
            <w:r>
              <w:rPr>
                <w:rFonts w:ascii="Times New Roman" w:eastAsia="Times New Roman" w:hAnsi="Times New Roman" w:cs="Times New Roman"/>
                <w:color w:val="000000"/>
              </w:rPr>
              <w:t>3.3 Gde podneti prijavu projekta?</w:t>
            </w:r>
          </w:hyperlink>
          <w:hyperlink w:anchor="_heading=h.3j2qqm3">
            <w:r>
              <w:rPr>
                <w:color w:val="000000"/>
              </w:rPr>
              <w:tab/>
              <w:t>9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1y810tw">
            <w:r>
              <w:rPr>
                <w:rFonts w:ascii="Times New Roman" w:eastAsia="Times New Roman" w:hAnsi="Times New Roman" w:cs="Times New Roman"/>
                <w:color w:val="000000"/>
              </w:rPr>
              <w:t>3.4  Rok za podnošenje prijava</w:t>
            </w:r>
          </w:hyperlink>
          <w:hyperlink w:anchor="_heading=h.1y810tw">
            <w:r>
              <w:rPr>
                <w:color w:val="000000"/>
              </w:rPr>
              <w:tab/>
              <w:t>9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4i7ojhp">
            <w:r>
              <w:rPr>
                <w:rFonts w:ascii="Times New Roman" w:eastAsia="Times New Roman" w:hAnsi="Times New Roman" w:cs="Times New Roman"/>
                <w:color w:val="000000"/>
              </w:rPr>
              <w:t>3.5  Kome da se obratite ako imate pitanja?</w:t>
            </w:r>
          </w:hyperlink>
          <w:hyperlink w:anchor="_heading=h.4i7ojhp">
            <w:r>
              <w:rPr>
                <w:color w:val="000000"/>
              </w:rPr>
              <w:tab/>
              <w:t>10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xcytpi"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hyperlink>
          <w:hyperlink w:anchor="_heading=h.2xcytpi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_heading=h.2xcytpi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OCENA I DODELA SREDSTAVA</w:t>
          </w:r>
          <w:r>
            <w:rPr>
              <w:color w:val="000000"/>
            </w:rPr>
            <w:tab/>
            <w:t>10</w:t>
          </w:r>
          <w:r>
            <w:fldChar w:fldCharType="end"/>
          </w:r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1ci93xb">
            <w:r>
              <w:rPr>
                <w:rFonts w:ascii="Times New Roman" w:eastAsia="Times New Roman" w:hAnsi="Times New Roman" w:cs="Times New Roman"/>
                <w:color w:val="000000"/>
              </w:rPr>
              <w:t>4.1 Primljene prijave će proći kroz sledeću proceduru:</w:t>
            </w:r>
          </w:hyperlink>
          <w:hyperlink w:anchor="_heading=h.1ci93xb">
            <w:r>
              <w:rPr>
                <w:color w:val="000000"/>
              </w:rPr>
              <w:tab/>
              <w:t>10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3whwml4">
            <w:r>
              <w:rPr>
                <w:rFonts w:ascii="Times New Roman" w:eastAsia="Times New Roman" w:hAnsi="Times New Roman" w:cs="Times New Roman"/>
                <w:color w:val="000000"/>
              </w:rPr>
              <w:t>4.2 Dodatna dokumentacija i ugovaranje</w:t>
            </w:r>
          </w:hyperlink>
          <w:hyperlink w:anchor="_heading=h.3whwml4">
            <w:r>
              <w:rPr>
                <w:color w:val="000000"/>
              </w:rPr>
              <w:tab/>
              <w:t>11</w:t>
            </w:r>
          </w:hyperlink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2bn6wsx"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hyperlink>
          <w:hyperlink w:anchor="_heading=h.2bn6wsx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_heading=h.2bn6wsx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OKVIRNI VREMENSKI RASPORED REALIZACIJE POZIVA</w:t>
          </w:r>
          <w:r>
            <w:rPr>
              <w:color w:val="000000"/>
            </w:rPr>
            <w:tab/>
            <w:t>12</w:t>
          </w:r>
          <w:r>
            <w:fldChar w:fldCharType="end"/>
          </w:r>
        </w:p>
        <w:p w:rsidR="004A6A7F" w:rsidRDefault="005263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350"/>
            </w:tabs>
            <w:spacing w:after="100"/>
            <w:ind w:left="220"/>
            <w:rPr>
              <w:color w:val="000000"/>
            </w:rPr>
          </w:pPr>
          <w:hyperlink w:anchor="_heading=h.qsh70q"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hyperlink>
          <w:hyperlink w:anchor="_heading=h.qsh70q">
            <w:r>
              <w:rPr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_heading=h.qsh70q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POPIS DOKUMENTACIJE  </w:t>
          </w:r>
          <w:r>
            <w:rPr>
              <w:rFonts w:ascii="Times New Roman" w:eastAsia="Times New Roman" w:hAnsi="Times New Roman" w:cs="Times New Roman"/>
              <w:color w:val="000000"/>
            </w:rPr>
            <w:t>JAVNOG POZIVA</w:t>
          </w:r>
          <w:r>
            <w:rPr>
              <w:color w:val="000000"/>
            </w:rPr>
            <w:tab/>
            <w:t>12</w:t>
          </w:r>
          <w:r>
            <w:fldChar w:fldCharType="end"/>
          </w:r>
        </w:p>
        <w:p w:rsidR="004A6A7F" w:rsidRDefault="0052633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end"/>
          </w:r>
        </w:p>
      </w:sdtContent>
    </w:sdt>
    <w:p w:rsidR="004A6A7F" w:rsidRDefault="004A6A7F">
      <w:pPr>
        <w:pStyle w:val="Heading2"/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</w:pPr>
      <w:bookmarkStart w:id="2" w:name="_heading=h.1fob9te" w:colFirst="0" w:colLast="0"/>
      <w:bookmarkEnd w:id="2"/>
    </w:p>
    <w:p w:rsidR="004A6A7F" w:rsidRDefault="004A6A7F">
      <w:pPr>
        <w:pStyle w:val="Heading2"/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 w:val="0"/>
          <w:color w:val="0070C0"/>
          <w:sz w:val="24"/>
          <w:szCs w:val="24"/>
        </w:rPr>
        <w:t xml:space="preserve">1. Finansijska podrška projektima NVO koji podržavaju i promovišu učenike Rome, Aškalije i Egipćane u centrima za učenje 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 w:val="0"/>
          <w:sz w:val="24"/>
          <w:szCs w:val="24"/>
        </w:rPr>
        <w:t>1.1 PROBLEMI KOJI ĆE BITI CILJENI OV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IM POZIVOM</w:t>
      </w:r>
    </w:p>
    <w:p w:rsidR="004A6A7F" w:rsidRDefault="004A6A7F">
      <w:pPr>
        <w:rPr>
          <w:highlight w:val="yellow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Obrazovanje pripadnika zajednica kosovskih Roma, kosovskih Aškalija i kosovskih Egipćana na Kosovu karakteriše nezadovoljavajuće učešće u obaveznom obrazovanju i veoma nisko učešće u srednjem i visokom obrazovanju. Stopa pismenosti jasan je pokazatelj r</w:t>
      </w:r>
      <w:r>
        <w:rPr>
          <w:rFonts w:ascii="Times New Roman" w:eastAsia="Times New Roman" w:hAnsi="Times New Roman" w:cs="Times New Roman"/>
          <w:sz w:val="24"/>
          <w:szCs w:val="24"/>
        </w:rPr>
        <w:t>azlika između većinske i nevećinskih zajednica. U poređenju sa oko 98 % ukupnog pismenog stanovništva, samo 64 % kosovskih Romkinja, Aškalijki i Egipćanki i oko 81% muškaraca, starosti od 15 do 49 godina, znaju da čitaju i pišu. Osnovni uzroci lošeg obraz</w:t>
      </w:r>
      <w:r>
        <w:rPr>
          <w:rFonts w:ascii="Times New Roman" w:eastAsia="Times New Roman" w:hAnsi="Times New Roman" w:cs="Times New Roman"/>
          <w:sz w:val="24"/>
          <w:szCs w:val="24"/>
        </w:rPr>
        <w:t>ovanja su loši društveno-ekonomski uslovi, kao i preovlađujuće rodne uloge u ovim zajednicama. Često su deca prisiljena da rade kako bi pomagala svojim porodicama, dok pored toga, u slučaju devojčica, rani brakovi imaju negativan efekat. Indeks rodnog pari</w:t>
      </w:r>
      <w:r>
        <w:rPr>
          <w:rFonts w:ascii="Times New Roman" w:eastAsia="Times New Roman" w:hAnsi="Times New Roman" w:cs="Times New Roman"/>
          <w:sz w:val="24"/>
          <w:szCs w:val="24"/>
        </w:rPr>
        <w:t>teta za osnovno obrazovanje je 1,01, što ukazuje da osnovnu školu pohađa više devojčica nego dečaka. Ovaj indeks dramatično opada u srednjoj školi. U nižem srednjem obrazovanju indeks je 0,94, a u višem srednjem 0,80, što ukazuje na to da manje devojčica n</w:t>
      </w:r>
      <w:r>
        <w:rPr>
          <w:rFonts w:ascii="Times New Roman" w:eastAsia="Times New Roman" w:hAnsi="Times New Roman" w:cs="Times New Roman"/>
          <w:sz w:val="24"/>
          <w:szCs w:val="24"/>
        </w:rPr>
        <w:t>astavlja ili završava školovanje.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Pravna infrastruktura za obrazovanje, obuku i podršku učenika iz zajednica Roma, Aškalija i Egipćana ne zadovoljava na zadovoljavajući način potrebe ove ciljne grupe.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Trenutno se obrazovanje, obuka i podrška ove grupe dece zasniva na, ali i ne samo na: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Zakonu o preduniverzitetskom obrazovanju u Republici Kosovo br. 04 / L-032 o, član 40.</w:t>
      </w: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Administrativnom uputstvu br. 19/2018 o osnivanju i funkcionisanju centara za učen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je.</w:t>
      </w: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Strateškom planu za obrazovanje na Kosovu 2017-2021.</w:t>
      </w: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Konvenciji Ujedinjenih nacija o pravima deteta 1989.</w:t>
      </w: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UNESCO-ovoj izjavi iz Salamanke 1994, itd.</w:t>
      </w:r>
    </w:p>
    <w:p w:rsidR="004A6A7F" w:rsidRDefault="00526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Okvirnom kurikulumu preduniverzitetskog obrazovanja Republike Kosovo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isto vreme, obrazovanje učenika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zajednica Roma, Aškalija i Egipćana zasniva se na međunarodnim principima dečjih prava kao što su: inkluzija, nediskriminacija, jednakost, postizanje potencijala, zaštita, itd. Svi ovi principi moraju se poštovati kako bi se ovi učenici osećali ispunj</w:t>
      </w:r>
      <w:r>
        <w:rPr>
          <w:rFonts w:ascii="Times New Roman" w:eastAsia="Times New Roman" w:hAnsi="Times New Roman" w:cs="Times New Roman"/>
          <w:sz w:val="24"/>
          <w:szCs w:val="24"/>
        </w:rPr>
        <w:t>enim u odnosu na svoje potencijale.</w:t>
      </w:r>
    </w:p>
    <w:p w:rsidR="004A6A7F" w:rsidRDefault="004A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Kao znak potvrde slabog obrazovnog postignuća, centri za učenje, sa svrhom pružanja dopunskih obrazovnih usluga, tradicionalno su popunili prazninu. Centri za učenje kao dopunski model razvoja i obrazovanja dele zajedn</w:t>
      </w:r>
      <w:r>
        <w:rPr>
          <w:rFonts w:ascii="Times New Roman" w:eastAsia="Times New Roman" w:hAnsi="Times New Roman" w:cs="Times New Roman"/>
          <w:sz w:val="24"/>
          <w:szCs w:val="24"/>
        </w:rPr>
        <w:t>ički cilj - zadržati decu u školi, olakšati im učešće u predškolskom, osnovnom i nižem srednjem obrazovanju i postići bolje akademske rezultate. Centri za učenje su promovisani da služe prvenstveno zajednicama kosovskih Roma, Aškalija i Egipćana; međutim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tokom godina usluge su proširene da bi koristile i deci iz drugih zajednica. Ovaj poziv je namenjen korisnicima centara za učenje na Kosovu.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 w:val="0"/>
          <w:sz w:val="24"/>
          <w:szCs w:val="24"/>
        </w:rPr>
        <w:lastRenderedPageBreak/>
        <w:t xml:space="preserve">1.2 CILJEVI POZIVA I PRIORITETI ZA DODELU SREDSTAVA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Opšti cilj ovog Poziva za podnošenje predloga je podrška  r</w:t>
      </w:r>
      <w:r>
        <w:rPr>
          <w:rFonts w:ascii="Times New Roman" w:eastAsia="Times New Roman" w:hAnsi="Times New Roman" w:cs="Times New Roman"/>
          <w:sz w:val="24"/>
          <w:szCs w:val="24"/>
        </w:rPr>
        <w:t>omskoj, aškalijskoj i egipćanskoj deci i učenicima u centrima za učenje.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Konkretan cilj ovog poziva za podnošenje predloga: Poboljšanje ishoda učenja i pohađanja predškolskog, osnovnog i nižeg srednjeg obrazovanja, kroz dopunsko obrazovanje i podršku roms</w:t>
      </w:r>
      <w:r>
        <w:rPr>
          <w:rFonts w:ascii="Times New Roman" w:eastAsia="Times New Roman" w:hAnsi="Times New Roman" w:cs="Times New Roman"/>
          <w:sz w:val="24"/>
          <w:szCs w:val="24"/>
        </w:rPr>
        <w:t>koj, aškalijskoj, egipćanskoj i drugoj deci i učenicima.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Prioriteti za raspodelu finansijskih sredstava: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Projekti bi trebalo da obuhvate jedan ili više sledećih prioriteta: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Povećanje obrazovnih postignuća i pohađanja, između ostalih, učenika Roma, Aškalija i Egipćana.</w:t>
      </w:r>
    </w:p>
    <w:p w:rsidR="004A6A7F" w:rsidRDefault="00526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Izgradnja kapaciteta osoblja centra za učenje u pružanju kvalitetnih časova za decu koja pohađaju.</w:t>
      </w:r>
    </w:p>
    <w:p w:rsidR="004A6A7F" w:rsidRDefault="00526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Podizanje svesti o važnosti obaveznog obrazovanja.</w:t>
      </w:r>
    </w:p>
    <w:p w:rsidR="004A6A7F" w:rsidRDefault="00526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Poboljš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anje saradnje između centara za učenje, škola i opštinskih direkcija za obrazovanje.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 w:val="0"/>
          <w:sz w:val="24"/>
          <w:szCs w:val="24"/>
        </w:rPr>
        <w:t>1.3 PROJEKTOVANA VREDNOST FINANSIJSKE PODRŠKE ZA PROJEKTE I UKUPAN IZNOS POZIVA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1. Minimalni iznos finansijske podrške koji se može dodeliti za svaki pojedinačni projeka</w:t>
      </w:r>
      <w:r>
        <w:rPr>
          <w:rFonts w:ascii="Times New Roman" w:eastAsia="Times New Roman" w:hAnsi="Times New Roman" w:cs="Times New Roman"/>
          <w:sz w:val="24"/>
          <w:szCs w:val="24"/>
        </w:rPr>
        <w:t>t je 10.000 evra, dok je maksimalni iznos za projekat 100.000 evra. Maksimalni iznos po jednom centru za učenje obuhvaćen projektom je 25.000 evra.</w:t>
      </w:r>
    </w:p>
    <w:p w:rsidR="004A6A7F" w:rsidRDefault="004A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Projekti mogu da se  finansiraju  u iznosu od 95% ukupnih prihvatljivih troškova projekta.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Podnosioci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ijava i potencijalni partneri moraju da obezbede sufinansiranje iz drugih finansijskih izvora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mimo Vlade Kosova ili u naturi (uključujući volontiranje).</w:t>
      </w:r>
    </w:p>
    <w:p w:rsidR="004A6A7F" w:rsidRDefault="004A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 finansiranje projekata prema ovom Javnom pozivu predviđen je raspoloživi iznos od 200.000 evra.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 w:val="0"/>
          <w:sz w:val="24"/>
          <w:szCs w:val="24"/>
        </w:rPr>
        <w:t>2. FORMALNI USLOVI POZIVA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2.1. Podnosioci prijave koji ispunjavaju uslov: ko može da se prijavi?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Podnosilac prijave mora da ispuni sledeće uslove: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Nevladina organizacija registrovana u skladu sa Zakonom o slobodi udruživanja u nevladine organizacije najmanje tri (3) godine pre objavljivanja ovog poziva;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 pravne, finansijske i operativne kapacitete za realizaciju projekta;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 najmanje dve (2) godine iskustva u upravljanju centrima za učenje i sprovođenju projekata iz prioritetnih oblasti javnog poziva;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 registrovan, u procesu registracije ili sa namerom da ispuni uslove za registraciju u MESTI;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 sve poreske obav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 i druge obavezne doprinose u skladu sa važećim zakonodavstvom u Republici Kosovo;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ne bude u postupku stečaja, u postupku likvidacije, u postupcima prinudne naplate ili likvidacije;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nije prekršio propisane uslove korišćenja javnih sredstava.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edeći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nemaju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pravo da konkurišu na ovaj poziv: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NVO koje nisu potrošile sredstva iz prethodne javne finansijske podrške u svrhu za koju su im obezbeđena.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NVO koje mogu da imaju  sukob interesa.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 projekata za koje nevladina organizacija može da se prijavi: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Podnosilac prijave može da podnese jedan predlog projekta.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Podnosilac prijave NE MOŽE istovremeno biti partner u drugoj prijavi.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2.2 Prihvatljivi partneri u realizaciji projekta/pro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grama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 slučaju partnerstva, partneri mogu da učestvuju u najviše jednoj prijavi.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Partneri moraju da ispune sve kriterijume o prihvatljivosti koji se odnose na podnosioce prijava, kako je navedeno u tački 2.1 ovih smernica.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A6A7F" w:rsidRDefault="00526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Povodom podnošenja prijave, podnosilac prijave mora da zaključi sporazum o partnerstvu sa partnerskim NVO. U tu svrhu svaki partner mora da potpiše i dostavi izjavu o partnerstvu.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2.3 Prihvatljive aktivnosti koje će se finansirati putem poziva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Planiran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realizacije projekta je od šest (6) do devet (9) meseci, počevši od oktobra 2021.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Projektne aktivnosti treba sprovoditi na teritoriji Republike Kosovo.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Prihvatljive projektne aktivnosti mogu uključivati: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Dopunske obrazovne aktivnosti za decu, između ostalih, iz zajednica Roma, Aškalija i Egipćana;</w:t>
      </w: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Obrazovne i socio-emocionalne aktivnosti za korisničku grupu kroz sport, umetnost i kulturu za povećanje znanja i veština;</w:t>
      </w: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izgradnje kapaciteta za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soblje centra za učenje kako bi se osiguralo efikasno funkcionisanje centra za učenje i izvođenje kvalitetnih časova;</w:t>
      </w: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za podizanje svesti roditelja o važnosti obaveznog i daljeg obrazovanja</w:t>
      </w: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osmišljene za podsticanje poboljšane saradnj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između centra za učenje, lokalnih vlasti i škola;</w:t>
      </w:r>
    </w:p>
    <w:p w:rsidR="004A6A7F" w:rsidRDefault="005263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koje podržavaju dostizanje minimalnih standarda za upis u MESTI.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Lista projektnih aktivnosti nije iscrpna, nego samo ilustrativna i uzeće se u obzir za finansiranje i druge odgovarajuće aktiv</w:t>
      </w:r>
      <w:r>
        <w:rPr>
          <w:rFonts w:ascii="Times New Roman" w:eastAsia="Times New Roman" w:hAnsi="Times New Roman" w:cs="Times New Roman"/>
          <w:sz w:val="24"/>
          <w:szCs w:val="24"/>
        </w:rPr>
        <w:t>nosti koje doprinose postizanju opštih i posebnih ciljeva poziva, koji nisu pomenuti u gore navedenoj listi.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Tokom realizacije projektnih aktivnosti, podnosilac prijave mora da osigura da se one zasnivaju na principu jednakih mogućnosti, rodne ravnopravn</w:t>
      </w:r>
      <w:r>
        <w:rPr>
          <w:rFonts w:ascii="Times New Roman" w:eastAsia="Times New Roman" w:hAnsi="Times New Roman" w:cs="Times New Roman"/>
          <w:sz w:val="24"/>
          <w:szCs w:val="24"/>
        </w:rPr>
        <w:t>osti i nediskriminacije, kao i da razvija aktivnosti u skladu sa potrebama zajednice i građana.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5263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Sledeće vrste aktivnosti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 ispunjavaju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uslov za finansiranje:</w:t>
      </w:r>
    </w:p>
    <w:p w:rsidR="004A6A7F" w:rsidRDefault="004A6A7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koje se odnose isključivo ili uglavnom na individualno učešće na seminarima, konferencijama, kongresima i istraživačkim aktivnostima;</w:t>
      </w:r>
    </w:p>
    <w:p w:rsidR="004A6A7F" w:rsidRDefault="005263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koje se odnose isključivo ili uglavnom na individualne stipendije za studije ili radionice;</w:t>
      </w:r>
    </w:p>
    <w:p w:rsidR="004A6A7F" w:rsidRDefault="005263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 koje nisu povezane sa obrazovanjem učenika iz zajednica Roma, Aškalija i Egipćana;</w:t>
      </w:r>
    </w:p>
    <w:p w:rsidR="004A6A7F" w:rsidRDefault="005263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u kojima su jedini korisnici članovi nevladine organizacije koja se prijavljuje.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2.4 Prihvatljivi rashodi koji će se finansirati putem poziva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Putem javn</w:t>
      </w:r>
      <w:r>
        <w:rPr>
          <w:rFonts w:ascii="Times New Roman" w:eastAsia="Times New Roman" w:hAnsi="Times New Roman" w:cs="Times New Roman"/>
          <w:sz w:val="24"/>
          <w:szCs w:val="24"/>
        </w:rPr>
        <w:t>og finansiranja ovog javnog poziva mogu se finansirati samo realni i prihvatljivi troškovi za realizaciju projektnih aktivnosti u periodu koji je naveden u ovim smernicama.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Prilikom ocenjivanja projekta/programa, proceniće se samo troškovi vezani za plani</w:t>
      </w:r>
      <w:r>
        <w:rPr>
          <w:rFonts w:ascii="Times New Roman" w:eastAsia="Times New Roman" w:hAnsi="Times New Roman" w:cs="Times New Roman"/>
          <w:sz w:val="24"/>
          <w:szCs w:val="24"/>
        </w:rPr>
        <w:t>rane aktivnosti, kao i stvarni iznos ovih rashoda.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26in1rg" w:colFirst="0" w:colLast="0"/>
      <w:bookmarkEnd w:id="12"/>
      <w: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2.4.1 Prihvatljivi direktni troškovi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Rashodi shodno direktno prihvatljivim troškovima uključuju rashode koji su direktno povezani sa realizacijom nekih aktivnosti predloženog projekta ili programa, kao </w:t>
      </w:r>
      <w:r>
        <w:rPr>
          <w:rFonts w:ascii="Times New Roman" w:eastAsia="Times New Roman" w:hAnsi="Times New Roman" w:cs="Times New Roman"/>
          <w:sz w:val="24"/>
          <w:szCs w:val="24"/>
        </w:rPr>
        <w:t>što su: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Organizovanje obrazovnih aktivnosti, (posebno treba identifikovati vrstu i cenu svake usluge);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Didaktički materijal;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Potrošni materijal;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Grafičke usluge (priprema za štampu, usluge štampanja letaka, brošura, časopisa, itd, sa specifikacijom vrste i obima usluge, količine, jedinične cene, itd);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plata i naknada za rukovodioce projekata/programa, osoblje na projektu, i/ ili spoljne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rtnere uključene u projekat (ugovori, autorska prava i imovinska prava, drugi ugovori, ugovori o radu), sa navođenjem imena uključenih osoba, njihovih profesionalnih kompetencija, broj meseci njihovog angažovanja i njihov mesečni bruto iznos naknade;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ikacioni troškovi (troškovi telefona, Interneta, itd), za ove troškove mora da bude navedena specifikacija;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nabavke opreme neophodne za realizaciju projekta/programa, koji se moraju odrediti prema vrsti i iznosu;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Putni troškovi (npr. dnevnice);</w:t>
      </w:r>
    </w:p>
    <w:p w:rsidR="004A6A7F" w:rsidRDefault="005263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lnxbz9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ugi troškovi direktno povezani sa realizacijom projekta ili programskim aktivnostima;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35nkun2" w:colFirst="0" w:colLast="0"/>
      <w:bookmarkEnd w:id="14"/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2.4.2 Prihvatljivi indirektni troškovi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Osim direktnih prihvatljivih rashoda po ovom pozivu, indirektni troškovi će takođe biti prihvaćeni do 7% ukupne vrednosti prihvatljivih direktnih troškova. Među ovim rashodima su uključeni troškovi koji nisu direktno povezani sa realizacijom projekta ili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programa, ali su troškovi koji indirektno doprinose postizanju ciljeva projekta. Ove troškove treba precizirati i objasniti.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1ksv4uv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2.4.3 Neprihvatljivi troškovi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Neprihvatljivi rashodi uključuju: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Kapitalna ulaganja ili investicioni krediti, garantni fondovi;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nabavke opreme, nameštaja i malih građevinskih poslova ako vrednost prelazi 10% ukupnih prihvatljivih troškova projekta;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kamata na dugove;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Novčane kazne, novčani penali i troškovi sudskih postupaka;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Isplata bonusa zaposlenima;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Troškovi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oji se već finansiraju iz javnih izvora ili rashodi u periodu trajanja projekta finansirani iz drugih izvora;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Kupovina polovne opreme, mašina i nameštaja itd;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koji nisu obuhvaćeni sporazumom (ugovor sa pružaocem finansijske podrške);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Dobrotvorne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donacije;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Krediti drugim organizacijama ili pojedincima;</w:t>
      </w:r>
    </w:p>
    <w:p w:rsidR="004A6A7F" w:rsidRDefault="005263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Ostali troškovi koji nisu direktno povezani sa sadržajem i ciljevima projekta;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44sinio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3. KAKO SE PRIJAVITI?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Prijava NVO smatraće se potpunom ako prijava sadrži sve prijavne obrasce i obavezne anekse kako se zahteva u javnom pozivu i pozivnoj dokumentaciji kako sledi: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Obrazac predloga projekta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Obrazac predloga budžeta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Obrazac izjave o partnerstvu (ako se prijavljuje u partnerstvu)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Kopija potvrde o registraciji nevladine organizacije;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Kopija uverenja o fiskalnom broju NVO;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Izjava koja ukazuje na odsustvo dvostrukog finansiranja;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Obrazac izjave o realizaciji drugih projek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 koji se finansiraju iz javnih izvora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Izjava o podnošenju godišnjih finansijskih izveštaja;</w:t>
      </w:r>
    </w:p>
    <w:p w:rsidR="004A6A7F" w:rsidRDefault="005263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Uverenje Poreske uprave Kosova u vezi sa stanjem javnog duga podnosioca prijave i partnera kojim se potvrđuje da organizacija nema dug i u slučaju da postoji jav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 dug, on mora da se izmiri pre potpisivanja ugovora. Uverenje mora da bude izdato u roku od datuma otvaranja javnog poziva (ovaj dokument će biti potreban pre objavljivanja konačnih rezultata i nakon objavljivanja preliminarnih rezultata).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2jxsxqh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3.1  Prijava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predloga projekta </w:t>
      </w:r>
    </w:p>
    <w:p w:rsidR="004A6A7F" w:rsidRDefault="004A6A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Popunjavanje obrasca predloga projekta deo je obavezne dokumentacije. Sadrži informacije o podnosiocu prijave i partnerima, kao i podatke o sadržaju projekta/programa za koji se traže finansijska sredstva iz javnih izvora.</w:t>
      </w: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dostavlje</w:t>
      </w:r>
      <w:r>
        <w:rPr>
          <w:rFonts w:ascii="Times New Roman" w:eastAsia="Times New Roman" w:hAnsi="Times New Roman" w:cs="Times New Roman"/>
          <w:sz w:val="24"/>
          <w:szCs w:val="24"/>
        </w:rPr>
        <w:t>ni podaci  u obrascu nedostaju u smislu sadržaja projekta, prijava se neće uzeti u razmatranje.</w:t>
      </w: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Obrasce je potrebno popuniti na računaru. Ako se obrazac popuni ručno, neće se uzeti u razmatranje.</w:t>
      </w: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obrazac sadrži pogrešan opis kao što je gore navedeno,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prijava će se smatrati nevažećom.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z337ya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 xml:space="preserve">3.2 Sadržaj obrasca budžeta 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Obrazac predloga budžeta je deo obavezne dokumentacije. Dostavljeni predlog budžeta mora da sadrži  informacije o svim direktnim i indirektnim rashodima projekta/programa predloženim za finansiranje.</w:t>
      </w: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Ako obrazac budžeta nije u potpunosti popunjen ili nije </w:t>
      </w:r>
      <w:r>
        <w:rPr>
          <w:rFonts w:ascii="Times New Roman" w:eastAsia="Times New Roman" w:hAnsi="Times New Roman" w:cs="Times New Roman"/>
          <w:sz w:val="24"/>
          <w:szCs w:val="24"/>
        </w:rPr>
        <w:t>dostavljen u odgovarajućem obrascu prijave, neće se uzeti u razmatranje.</w:t>
      </w:r>
    </w:p>
    <w:p w:rsidR="004A6A7F" w:rsidRDefault="005263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Obrazac je potrebno popuniti na računaru. Ako se obrazac popuni ručno, neće se uzeti u razmatranje.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3j2qqm3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3.3 Gde podneti prijavu projekta?</w:t>
      </w:r>
    </w:p>
    <w:p w:rsidR="004A6A7F" w:rsidRDefault="004A6A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Obavezni obrasci i potrebna dokumentacija moraju se dostaviti u fizičkom obliku, u štampanom formatu (jedan original) i u elektronskom formatu (na CD- u). Obavezne obrasce mora da potpiše ovlašćeni predstavnik i moraju da se overe službenim pečatom organiz</w:t>
      </w:r>
      <w:r>
        <w:rPr>
          <w:rFonts w:ascii="Times New Roman" w:eastAsia="Times New Roman" w:hAnsi="Times New Roman" w:cs="Times New Roman"/>
          <w:sz w:val="24"/>
          <w:szCs w:val="24"/>
        </w:rPr>
        <w:t>acije. Dokumentacija u elektronskom formatu (na CD-u) mora da ima isti sadržaj odnosno da bude identična štampanoj verziji. Odštampanu dokumentaciju i elektronski CD treba staviti u zapečaćenu kovertu.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Originalna prijava mora biti dostavljena lično (i 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tavljena nadležnoj kancelariji). Na spoljnoj strani koverte napisati naziv javnog poziva, zajedno sa punim nazivom i adresom podnosioca prijave i napomenom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„Ne otvarati pre sastanka Komisije za ocenu projekata“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se moraju poslati na sledeću adresu: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4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8"/>
      </w:tblGrid>
      <w:tr w:rsidR="004A6A7F">
        <w:trPr>
          <w:trHeight w:val="1448"/>
        </w:trPr>
        <w:tc>
          <w:tcPr>
            <w:tcW w:w="4878" w:type="dxa"/>
          </w:tcPr>
          <w:p w:rsidR="004A6A7F" w:rsidRDefault="005263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Ministarstvo obrazovanja, nauke  tehnologije i inovacija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</w:rPr>
              <w:br/>
            </w:r>
          </w:p>
          <w:p w:rsidR="004A6A7F" w:rsidRDefault="00526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Ul. Agim Ramadani, prizemlje, kancelarija br.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A6A7F" w:rsidRDefault="00526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otvarati pre sastanka Komisije za ocenu projekata“</w:t>
            </w:r>
          </w:p>
        </w:tc>
      </w:tr>
    </w:tbl>
    <w:p w:rsidR="004A6A7F" w:rsidRDefault="004A6A7F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1y810tw" w:colFirst="0" w:colLast="0"/>
      <w:bookmarkEnd w:id="20"/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  Rok za podnošenje prijava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04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29">
        <w:rPr>
          <w:rFonts w:ascii="Times New Roman" w:eastAsia="Times New Roman" w:hAnsi="Times New Roman" w:cs="Times New Roman"/>
          <w:sz w:val="24"/>
          <w:szCs w:val="24"/>
        </w:rPr>
        <w:t xml:space="preserve">Rok za podnošenje aplikacija je </w:t>
      </w:r>
      <w:r w:rsidRPr="00041B29">
        <w:rPr>
          <w:rFonts w:ascii="Times New Roman" w:eastAsia="Times New Roman" w:hAnsi="Times New Roman" w:cs="Times New Roman"/>
          <w:b/>
          <w:sz w:val="24"/>
          <w:szCs w:val="24"/>
        </w:rPr>
        <w:t>13. Septembar 2021. u 16:00 časova</w:t>
      </w:r>
      <w:r w:rsidR="00526330" w:rsidRPr="00041B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26330">
        <w:rPr>
          <w:rFonts w:ascii="Times New Roman" w:eastAsia="Times New Roman" w:hAnsi="Times New Roman" w:cs="Times New Roman"/>
          <w:sz w:val="24"/>
          <w:szCs w:val="24"/>
        </w:rPr>
        <w:t xml:space="preserve"> Ako se prijava podnosi lično kancelariji, podnosiocu zahteva se izdaje potvrda da je prijava primljena u objavljenom roku.</w:t>
      </w:r>
      <w:r w:rsidR="0052633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Sve prijave pristigl</w:t>
      </w:r>
      <w:r>
        <w:rPr>
          <w:rFonts w:ascii="Times New Roman" w:eastAsia="Times New Roman" w:hAnsi="Times New Roman" w:cs="Times New Roman"/>
          <w:sz w:val="24"/>
          <w:szCs w:val="24"/>
        </w:rPr>
        <w:t>e nakon isteka roka neće se uzeti u razmatranje.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4i7ojhp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>Kome da se obratite ako imate pitanja?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Sva pitanja u vezi poziva mogu da se upute samo elektronskim putem, slanjem zahteva na sledeću adresu:</w:t>
      </w:r>
      <w:r>
        <w:rPr>
          <w:b/>
          <w:color w:val="FFFFFF"/>
        </w:rPr>
        <w:t xml:space="preserve"> </w:t>
      </w:r>
      <w:r>
        <w:rPr>
          <w:b/>
          <w:color w:val="FF0000"/>
        </w:rPr>
        <w:t>Nazan.Safqi@rks-gov.net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najkasnije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 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 isteka poziva.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Odgovori na određene zahteve biće poslati direktno na adresu postavljenih pitanja, a najčešći odgovori biće objavljeni na sledećoj veb-stranici:</w:t>
      </w:r>
      <w:r>
        <w:rPr>
          <w:color w:val="FFFFFF"/>
        </w:rPr>
        <w:t xml:space="preserve"> </w:t>
      </w:r>
      <w:hyperlink r:id="rId9">
        <w:r>
          <w:rPr>
            <w:color w:val="0000FF"/>
            <w:u w:val="single"/>
          </w:rPr>
          <w:t>https://masht.rks-gov.net/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najkasnije 5 dana pre isteka poziva.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Da bi se obezbedilo jednako postupanje prema svim potencijalnim podnosiocima prijava, pružalac javne finansijske podrške ne može dati prethodno mišljenje o podobnosti podnosilaca prijava, partnera, radnji ili rashoda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navedenih u zahtevu.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2" w:name="_heading=h.2xcytpi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 xml:space="preserve">OCENA I DODELA SREDSTAVA </w:t>
      </w:r>
    </w:p>
    <w:p w:rsidR="004A6A7F" w:rsidRDefault="00526330">
      <w:pPr>
        <w:pStyle w:val="Heading2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eading=h.1ci93xb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4.1 Primljene prijave će proći kroz sledeću proceduru: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4.1.1 Pružalac finansijske podrške uspostaviće komisiju za ocenu u čijem sastavu će biti 5 zvaničnih članova institucije i drugih spoljnih stručnjaka, čija je dužnost da ocene da li prijave ispunjavaju formalne uslove javnog poziva.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Nakon provere svih pri</w:t>
      </w:r>
      <w:r>
        <w:rPr>
          <w:rFonts w:ascii="Times New Roman" w:eastAsia="Times New Roman" w:hAnsi="Times New Roman" w:cs="Times New Roman"/>
          <w:sz w:val="24"/>
          <w:szCs w:val="24"/>
        </w:rPr>
        <w:t>stiglih prijava, Komisija će pripremiti spisak svih prijavljenih koji ispunjavaju uslove kako bi ocenila sadržaj njihovih projekata, kao i listu prijavljenih koji ne ispunjavaju uslove navedene u konkursu.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Pružalac finansijske podrške obavestiće sve podn</w:t>
      </w:r>
      <w:r>
        <w:rPr>
          <w:rFonts w:ascii="Times New Roman" w:eastAsia="Times New Roman" w:hAnsi="Times New Roman" w:cs="Times New Roman"/>
          <w:sz w:val="24"/>
          <w:szCs w:val="24"/>
        </w:rPr>
        <w:t>osioce prijava koji ne ispunjavaju uslove i navesti razloge za odbijanje njihove prijave.</w:t>
      </w:r>
    </w:p>
    <w:p w:rsidR="004A6A7F" w:rsidRDefault="004A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  U drugoj fazi, Komisija za ocenu projekata u čijem sastavu su  pet (5) članova, oceniće  sadržaj prijava. Svaka primljena prijava oceniće se na osnovu obrasca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ocene.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će se ocenjivati na osnovu: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Iskustva prijavljene organizacije (organizacija) i njenog osoblja, uključujući posebno relevantno iskustvo u prioritetnoj oblasti ovog poziva (30 odsto);</w:t>
      </w:r>
    </w:p>
    <w:p w:rsidR="004A6A7F" w:rsidRDefault="004A6A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Obima u kojem predloženi projekat zadovoljava cilj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ziva. Predlog bi trebalo da pokaže dobro integrisanu rodnu perspektivu u svim fazama njegove realizacije (30 odsto);</w:t>
      </w:r>
    </w:p>
    <w:p w:rsidR="004A6A7F" w:rsidRDefault="004A6A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Obima u kojem se predloženi projekat podudara sa zahtevima poziva (20 odsto); </w:t>
      </w:r>
    </w:p>
    <w:p w:rsidR="004A6A7F" w:rsidRDefault="004A6A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Ukupne relevantnosti, kvaliteta, jasnoće i finansijske izv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odljivosti predloga i procenjenog budžeta (20 odsto).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Privremena lista projekata/programa korisnika odabranih za finansiranje - Na osnovu ocene prijava koje su ispunile uslove navedene u pozivu, Komisija će sastaviti privremenu listu odabranih projekata/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programa u skladu sa bodovima koje su dobili u procesu ocene. Ukupan iznos troškova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projekata navedenih na privremenoj listi neće premašiti ukupan iznos finansiranja obezbeđenih putem javnog poziva.</w:t>
      </w:r>
    </w:p>
    <w:p w:rsidR="004A6A7F" w:rsidRDefault="004A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Osim privremene liste, na osnovu bodova koji su dati to</w:t>
      </w:r>
      <w:r>
        <w:rPr>
          <w:rFonts w:ascii="Times New Roman" w:eastAsia="Times New Roman" w:hAnsi="Times New Roman" w:cs="Times New Roman"/>
          <w:sz w:val="24"/>
          <w:szCs w:val="24"/>
        </w:rPr>
        <w:t>kom ocene, Komisija će sastaviti i rezervnu listu projekata/programa.</w:t>
      </w:r>
    </w:p>
    <w:p w:rsidR="004A6A7F" w:rsidRDefault="0052633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eading=h.3whwml4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br/>
        <w:t>4.2 Dodatna dokumentacija i ugovaranje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bi se izbegli nepotrebni dodatni troškovi prilikom prijavljivanja na konkurs, pružalac finansijskih izvora će zahtevati dodatnu dokumentaciju samo od onih podnosioca prijave koji su prema oceni prijava uključeni u privremenu listu projekata/programa od</w:t>
      </w:r>
      <w:r>
        <w:rPr>
          <w:rFonts w:ascii="Times New Roman" w:eastAsia="Times New Roman" w:hAnsi="Times New Roman" w:cs="Times New Roman"/>
          <w:sz w:val="24"/>
          <w:szCs w:val="24"/>
        </w:rPr>
        <w:t>abranih za finansiranje.</w:t>
      </w: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Pre potpisivanja konačnog ugovora, a na osnovu ocene Komisije, pružalac može zatražiti pregled  obrasca konačnog budžeta za procenjene troškove koji odgovaraju stvarnim troškovima vezanim za predložene aktivnosti.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Dodatna dokumen</w:t>
      </w:r>
      <w:r>
        <w:rPr>
          <w:rFonts w:ascii="Times New Roman" w:eastAsia="Times New Roman" w:hAnsi="Times New Roman" w:cs="Times New Roman"/>
          <w:sz w:val="24"/>
          <w:szCs w:val="24"/>
        </w:rPr>
        <w:t>tacija koja će biti potrebna: Uverenje poreske uprave da su izvršene sve poreske obaveze.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za ocenu projekata će proveriti dodatnu dokumentaciju.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podnosilac prijave ne dostavi potrebnu dodatnu dokumentaciju u navedenom roku od 10 dana, pri</w:t>
      </w:r>
      <w:r>
        <w:rPr>
          <w:rFonts w:ascii="Times New Roman" w:eastAsia="Times New Roman" w:hAnsi="Times New Roman" w:cs="Times New Roman"/>
          <w:sz w:val="24"/>
          <w:szCs w:val="24"/>
        </w:rPr>
        <w:t>java će biti odbijena.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provere prateće dokumentacije i ako odluka pokaže da neki podnosioci prijave nisu ispunili tražene uslove prema javnom pozivu, te prijave se neće uzeti u razmatranje za potpisivanje ugovora.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takvim slučajevima, projekti s</w:t>
      </w:r>
      <w:r>
        <w:rPr>
          <w:rFonts w:ascii="Times New Roman" w:eastAsia="Times New Roman" w:hAnsi="Times New Roman" w:cs="Times New Roman"/>
          <w:sz w:val="24"/>
          <w:szCs w:val="24"/>
        </w:rPr>
        <w:t>a rezervne liste će se aktivirati ako nakon provere prateće dokumentacije institucija utvrdi da ima dovoljno sredstava za ugovaranje drugih projekata.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provere dostavljene dokumentacije, Komisija će predložiti konačnu listu projekata /programa odab</w:t>
      </w:r>
      <w:r>
        <w:rPr>
          <w:rFonts w:ascii="Times New Roman" w:eastAsia="Times New Roman" w:hAnsi="Times New Roman" w:cs="Times New Roman"/>
          <w:sz w:val="24"/>
          <w:szCs w:val="24"/>
        </w:rPr>
        <w:t>ranih za finansiranje.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Obaveštavanje podnosilaca prijava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Svi podnosioci prijava čije su prijave ušle u proces ocene biće obavešteni o odluci o dodeli projekata/programa u okviru poziva.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5" w:name="_heading=h.2bn6wsx" w:colFirst="0" w:colLast="0"/>
      <w:bookmarkEnd w:id="25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OKVIRNI VREMENSKI RASPORED REALIZACIJE POZIVA </w:t>
      </w:r>
    </w:p>
    <w:p w:rsidR="004A6A7F" w:rsidRDefault="004A6A7F"/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Proceduralne faze poziva (unesite datume)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Rok za prijave</w:t>
      </w:r>
      <w:r w:rsidR="00041B29"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13. septembar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slanje pitanja u vezi poziva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30. avgust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slanje odgovora na pitanja u vezi sa pozivom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3. septembar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proveru ispunjenosti proceduralnih kriterijuma i obaveštavanje strana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17. septembar 2021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suštinsku ocenu prijava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30. septembar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podnošenje zahteva za podnošenje dodatne dokumentacije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 oktobar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dostavljanje tražene dokumentacije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 w:rsidRP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8. oktobar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 za objavljivanje odluke o dodeli javnih sredstava i obaveštavanje podnosilaca prijava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15. oktobar 2021.</w:t>
      </w:r>
    </w:p>
    <w:p w:rsidR="004A6A7F" w:rsidRPr="005F1B6C" w:rsidRDefault="005263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ugovaranje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F1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21. oktobar 2021.</w:t>
      </w:r>
      <w:bookmarkStart w:id="26" w:name="_GoBack"/>
      <w:bookmarkEnd w:id="26"/>
    </w:p>
    <w:p w:rsidR="004A6A7F" w:rsidRDefault="00526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Finansijer ima pravo da ažurira okvirni kalendar. Sve izmene u okvirnom kalendaru biće objavljene na sledećoj veb-stranici: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www.masht.rks-gov.net</w:t>
        </w:r>
      </w:hyperlink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pStyle w:val="Heading2"/>
        <w:numPr>
          <w:ilvl w:val="0"/>
          <w:numId w:val="5"/>
        </w:numPr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7" w:name="_heading=h.qsh70q" w:colFirst="0" w:colLast="0"/>
      <w:bookmarkEnd w:id="27"/>
      <w:r>
        <w:rPr>
          <w:rFonts w:ascii="Times New Roman" w:eastAsia="Times New Roman" w:hAnsi="Times New Roman" w:cs="Times New Roman"/>
          <w:b w:val="0"/>
          <w:sz w:val="24"/>
          <w:szCs w:val="24"/>
        </w:rPr>
        <w:t>POPIS DOKUMENTACIJE  JAVNOG POZIVA</w:t>
      </w:r>
    </w:p>
    <w:p w:rsidR="004A6A7F" w:rsidRDefault="004A6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6A7F" w:rsidRDefault="0052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OBRASCI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Obrazac prijave za projekat/program (F9)</w:t>
      </w: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Obrazac predloga budžeta (F10)</w:t>
      </w: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Obrazac izjave o nepostojanju dvostrukog finansiranja (F11)</w:t>
      </w: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Obrazac izjave o partnerstvu (F12)</w:t>
      </w: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Obrazac za procenu kvaliteta aplikacija (F15)</w:t>
      </w:r>
    </w:p>
    <w:p w:rsidR="004A6A7F" w:rsidRDefault="00526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Obrazac o ugovaranju (F16) </w:t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4A6A7F" w:rsidRDefault="00526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7F" w:rsidRDefault="004A6A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A6A7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30" w:rsidRDefault="00526330">
      <w:pPr>
        <w:spacing w:after="0" w:line="240" w:lineRule="auto"/>
      </w:pPr>
      <w:r>
        <w:separator/>
      </w:r>
    </w:p>
  </w:endnote>
  <w:endnote w:type="continuationSeparator" w:id="0">
    <w:p w:rsidR="00526330" w:rsidRDefault="0052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A7F" w:rsidRDefault="005263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41B29">
      <w:rPr>
        <w:color w:val="000000"/>
      </w:rPr>
      <w:fldChar w:fldCharType="separate"/>
    </w:r>
    <w:r w:rsidR="005F1B6C">
      <w:rPr>
        <w:noProof/>
        <w:color w:val="000000"/>
      </w:rPr>
      <w:t>9</w:t>
    </w:r>
    <w:r>
      <w:rPr>
        <w:color w:val="000000"/>
      </w:rPr>
      <w:fldChar w:fldCharType="end"/>
    </w:r>
  </w:p>
  <w:p w:rsidR="004A6A7F" w:rsidRDefault="004A6A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30" w:rsidRDefault="00526330">
      <w:pPr>
        <w:spacing w:after="0" w:line="240" w:lineRule="auto"/>
      </w:pPr>
      <w:r>
        <w:separator/>
      </w:r>
    </w:p>
  </w:footnote>
  <w:footnote w:type="continuationSeparator" w:id="0">
    <w:p w:rsidR="00526330" w:rsidRDefault="0052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13E"/>
    <w:multiLevelType w:val="multilevel"/>
    <w:tmpl w:val="D640ED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14FEB"/>
    <w:multiLevelType w:val="multilevel"/>
    <w:tmpl w:val="448E75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2" w15:restartNumberingAfterBreak="0">
    <w:nsid w:val="1868034C"/>
    <w:multiLevelType w:val="multilevel"/>
    <w:tmpl w:val="5568E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75972"/>
    <w:multiLevelType w:val="multilevel"/>
    <w:tmpl w:val="537AC19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1E5068"/>
    <w:multiLevelType w:val="multilevel"/>
    <w:tmpl w:val="B59A84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111364"/>
    <w:multiLevelType w:val="multilevel"/>
    <w:tmpl w:val="1D1E5C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17D63"/>
    <w:multiLevelType w:val="multilevel"/>
    <w:tmpl w:val="2E2A54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F6196D"/>
    <w:multiLevelType w:val="multilevel"/>
    <w:tmpl w:val="3222A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F2C9B"/>
    <w:multiLevelType w:val="multilevel"/>
    <w:tmpl w:val="05BAFF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5CA14DF2"/>
    <w:multiLevelType w:val="multilevel"/>
    <w:tmpl w:val="E6DAC6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10" w15:restartNumberingAfterBreak="0">
    <w:nsid w:val="62202047"/>
    <w:multiLevelType w:val="multilevel"/>
    <w:tmpl w:val="0AB6243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2">
      <w:start w:val="1"/>
      <w:numFmt w:val="bullet"/>
      <w:lvlText w:val="−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762B1B"/>
    <w:multiLevelType w:val="multilevel"/>
    <w:tmpl w:val="C55E1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962ED4"/>
    <w:multiLevelType w:val="multilevel"/>
    <w:tmpl w:val="51D497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7F"/>
    <w:rsid w:val="00041B29"/>
    <w:rsid w:val="004A6A7F"/>
    <w:rsid w:val="00526330"/>
    <w:rsid w:val="005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49CF"/>
  <w15:docId w15:val="{1686FA3D-B998-41B9-B073-2908C99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86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75992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rFonts w:ascii="Arial" w:eastAsia="Arial" w:hAnsi="Arial" w:cs="Times New Roman"/>
      <w:color w:val="000000"/>
      <w:sz w:val="52"/>
      <w:szCs w:val="52"/>
      <w:lang w:val="sq-AL" w:eastAsia="x-none"/>
    </w:rPr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3FED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F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57C5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575992"/>
    <w:rPr>
      <w:rFonts w:ascii="Arial" w:eastAsia="Arial" w:hAnsi="Arial" w:cs="Times New Roman"/>
      <w:color w:val="000000"/>
      <w:sz w:val="52"/>
      <w:szCs w:val="52"/>
      <w:lang w:val="sq-AL" w:eastAsia="x-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sht.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ht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d8/8MLOxFJQW5aBCzYFceNOFg==">AMUW2mXHOxC/aiJ/3tD4R4G/Zar//cAYAvDsD4V0NHkPkc1rCX8T29t+jRM/qGtDDViLN/n7QGvq6CIzF7x9MbH6xy8s/XqooAXqsB5Op9pxNrcbhgojcKYaaDRRTnzdkkC29+eHfzJrmKnlb7Y2hXnQoEunTLwkjkKoD6hNLU7jE3Hdm72UirKjGZxxOQnQyAhsnxbrOueNZ2P5AgaJnJbLEle03wVBzWSwkbXBGhVNc5MJPQ3gqS4jzc7bbxHtRenBw2Jd2z/x+wcfQxLeWQflVLZubdzkrJZF0Cm9vCvCE+4jdCMqWIfIiWw2l5a477+zG8k1v+WNApHCTbVvkhedYCEIKNOlgYxc10QR105xm5T+4UaLaxe/W2ep+xYFeoBsEy4ha6oppAWxxxOc2Rq47yQUsK2P2DPK/8aHA/z6X2qgfHMQ1SFxrMw8VVuP4bLnqj87Ju7AHkRZiVm+DG9uDZ+Qnoab32nC3qduSthXbBDLKjzv7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DP</cp:lastModifiedBy>
  <cp:revision>3</cp:revision>
  <dcterms:created xsi:type="dcterms:W3CDTF">2021-08-10T16:29:00Z</dcterms:created>
  <dcterms:modified xsi:type="dcterms:W3CDTF">2021-08-19T10:01:00Z</dcterms:modified>
</cp:coreProperties>
</file>