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C79" w:rsidRPr="00B827EE" w:rsidRDefault="00BF27C3" w:rsidP="00EA713F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B827EE">
        <w:rPr>
          <w:rFonts w:asciiTheme="minorHAnsi" w:hAnsiTheme="minorHAnsi" w:cstheme="minorHAnsi"/>
          <w:b/>
        </w:rPr>
        <w:t>Bursat Bilaterale</w:t>
      </w:r>
      <w:r w:rsidR="0043673C" w:rsidRPr="00B827EE">
        <w:rPr>
          <w:rFonts w:asciiTheme="minorHAnsi" w:hAnsiTheme="minorHAnsi" w:cstheme="minorHAnsi"/>
          <w:b/>
        </w:rPr>
        <w:t xml:space="preserve"> </w:t>
      </w:r>
    </w:p>
    <w:p w:rsidR="00AB23FE" w:rsidRPr="00B827EE" w:rsidRDefault="00AB23FE" w:rsidP="00EA713F">
      <w:pPr>
        <w:jc w:val="center"/>
        <w:rPr>
          <w:rFonts w:asciiTheme="minorHAnsi" w:hAnsiTheme="minorHAnsi" w:cstheme="minorHAnsi"/>
          <w:b/>
        </w:rPr>
      </w:pPr>
    </w:p>
    <w:p w:rsidR="00AB23FE" w:rsidRPr="00B827EE" w:rsidRDefault="00AB23FE" w:rsidP="00EA713F">
      <w:pPr>
        <w:jc w:val="center"/>
        <w:rPr>
          <w:rFonts w:asciiTheme="minorHAnsi" w:hAnsiTheme="minorHAnsi" w:cstheme="minorHAnsi"/>
          <w:b/>
        </w:rPr>
      </w:pPr>
      <w:r w:rsidRPr="00B827EE">
        <w:rPr>
          <w:rFonts w:asciiTheme="minorHAnsi" w:hAnsiTheme="minorHAnsi" w:cstheme="minorHAnsi"/>
          <w:b/>
        </w:rPr>
        <w:t>Për Vitin Akademik 2019 / 2020</w:t>
      </w:r>
    </w:p>
    <w:p w:rsidR="00AB23FE" w:rsidRPr="00B827EE" w:rsidRDefault="00AB23FE" w:rsidP="00EA713F">
      <w:pPr>
        <w:jc w:val="center"/>
        <w:rPr>
          <w:rFonts w:asciiTheme="minorHAnsi" w:hAnsiTheme="minorHAnsi" w:cstheme="minorHAnsi"/>
          <w:b/>
        </w:rPr>
      </w:pPr>
    </w:p>
    <w:p w:rsidR="00AB23FE" w:rsidRPr="00B827EE" w:rsidRDefault="00AB23FE" w:rsidP="00EA713F">
      <w:pPr>
        <w:jc w:val="center"/>
        <w:rPr>
          <w:rFonts w:asciiTheme="minorHAnsi" w:hAnsiTheme="minorHAnsi" w:cstheme="minorHAnsi"/>
          <w:b/>
        </w:rPr>
      </w:pPr>
    </w:p>
    <w:p w:rsidR="00AB23FE" w:rsidRPr="00B827EE" w:rsidRDefault="00AB23FE" w:rsidP="00AB23FE">
      <w:pPr>
        <w:rPr>
          <w:rFonts w:asciiTheme="minorHAnsi" w:hAnsiTheme="minorHAnsi" w:cstheme="minorHAnsi"/>
          <w:b/>
        </w:rPr>
      </w:pPr>
      <w:r w:rsidRPr="00B827EE">
        <w:rPr>
          <w:rFonts w:asciiTheme="minorHAnsi" w:hAnsiTheme="minorHAnsi" w:cstheme="minorHAnsi"/>
          <w:b/>
        </w:rPr>
        <w:t>INFORMATAT GJENERALE</w:t>
      </w:r>
    </w:p>
    <w:p w:rsidR="00AB23FE" w:rsidRPr="00B827EE" w:rsidRDefault="00AB23FE" w:rsidP="00AB23FE">
      <w:pPr>
        <w:rPr>
          <w:rFonts w:asciiTheme="minorHAnsi" w:hAnsiTheme="minorHAnsi" w:cstheme="minorHAnsi"/>
        </w:rPr>
      </w:pPr>
    </w:p>
    <w:p w:rsidR="00BB47F2" w:rsidRPr="00B827EE" w:rsidRDefault="00AB23FE" w:rsidP="00AB23FE">
      <w:pPr>
        <w:rPr>
          <w:rFonts w:asciiTheme="minorHAnsi" w:hAnsiTheme="minorHAnsi" w:cstheme="minorHAnsi"/>
        </w:rPr>
      </w:pPr>
      <w:r w:rsidRPr="00B827EE">
        <w:rPr>
          <w:rFonts w:asciiTheme="minorHAnsi" w:hAnsiTheme="minorHAnsi" w:cstheme="minorHAnsi"/>
        </w:rPr>
        <w:t xml:space="preserve">Ministri i Arsimit, Shkencës dhe Sportit nga Republika e Sllovenisë (këtej e tutje referuar si “Ministria”) </w:t>
      </w:r>
      <w:r w:rsidR="005835D5" w:rsidRPr="00B827EE">
        <w:rPr>
          <w:rFonts w:asciiTheme="minorHAnsi" w:hAnsiTheme="minorHAnsi" w:cstheme="minorHAnsi"/>
        </w:rPr>
        <w:t>ofron një numër të bursave mujore për shtetas të huaj, duke u</w:t>
      </w:r>
      <w:r w:rsidR="00F80808" w:rsidRPr="00B827EE">
        <w:rPr>
          <w:rFonts w:asciiTheme="minorHAnsi" w:hAnsiTheme="minorHAnsi" w:cstheme="minorHAnsi"/>
        </w:rPr>
        <w:t xml:space="preserve"> bazuar në marrëveshje bilaterale</w:t>
      </w:r>
      <w:r w:rsidR="005835D5" w:rsidRPr="00B827EE">
        <w:rPr>
          <w:rFonts w:asciiTheme="minorHAnsi" w:hAnsiTheme="minorHAnsi" w:cstheme="minorHAnsi"/>
        </w:rPr>
        <w:t xml:space="preserve"> (në mes të qeverive/ministrive)</w:t>
      </w:r>
      <w:r w:rsidR="00BB47F2" w:rsidRPr="00B827EE">
        <w:rPr>
          <w:rFonts w:asciiTheme="minorHAnsi" w:hAnsiTheme="minorHAnsi" w:cstheme="minorHAnsi"/>
        </w:rPr>
        <w:t xml:space="preserve"> si dhe në bazë të reciprocitetit me shtetet në</w:t>
      </w:r>
      <w:r w:rsidR="005835D5" w:rsidRPr="00B827EE">
        <w:rPr>
          <w:rFonts w:asciiTheme="minorHAnsi" w:hAnsiTheme="minorHAnsi" w:cstheme="minorHAnsi"/>
        </w:rPr>
        <w:t xml:space="preserve"> </w:t>
      </w:r>
      <w:r w:rsidR="00BB47F2" w:rsidRPr="00B827EE">
        <w:rPr>
          <w:rFonts w:asciiTheme="minorHAnsi" w:hAnsiTheme="minorHAnsi" w:cstheme="minorHAnsi"/>
        </w:rPr>
        <w:t>vijim:</w:t>
      </w:r>
    </w:p>
    <w:p w:rsidR="00BB47F2" w:rsidRPr="00B827EE" w:rsidRDefault="00BB47F2" w:rsidP="00AB23FE">
      <w:pPr>
        <w:rPr>
          <w:rFonts w:asciiTheme="minorHAnsi" w:hAnsiTheme="minorHAnsi" w:cstheme="minorHAnsi"/>
        </w:rPr>
      </w:pPr>
    </w:p>
    <w:p w:rsidR="00B83588" w:rsidRPr="00B827EE" w:rsidRDefault="00B83588" w:rsidP="00AB23FE">
      <w:pPr>
        <w:rPr>
          <w:rFonts w:asciiTheme="minorHAnsi" w:hAnsiTheme="minorHAnsi" w:cstheme="minorHAnsi"/>
        </w:rPr>
      </w:pPr>
    </w:p>
    <w:p w:rsidR="00B83588" w:rsidRPr="00B827EE" w:rsidRDefault="00B83588" w:rsidP="00AB23FE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3420"/>
        <w:gridCol w:w="2880"/>
      </w:tblGrid>
      <w:tr w:rsidR="003B5EA2" w:rsidRPr="00B827EE" w:rsidTr="00B83588">
        <w:tc>
          <w:tcPr>
            <w:tcW w:w="3420" w:type="dxa"/>
          </w:tcPr>
          <w:p w:rsidR="003B5EA2" w:rsidRPr="00B827EE" w:rsidRDefault="003B5EA2" w:rsidP="003B5EA2">
            <w:pPr>
              <w:jc w:val="center"/>
              <w:rPr>
                <w:rFonts w:asciiTheme="minorHAnsi" w:hAnsiTheme="minorHAnsi" w:cstheme="minorHAnsi"/>
              </w:rPr>
            </w:pPr>
          </w:p>
          <w:p w:rsidR="003B5EA2" w:rsidRPr="00B827EE" w:rsidRDefault="003B5EA2" w:rsidP="003B5EA2">
            <w:pPr>
              <w:jc w:val="center"/>
              <w:rPr>
                <w:rFonts w:asciiTheme="minorHAnsi" w:hAnsiTheme="minorHAnsi" w:cstheme="minorHAnsi"/>
              </w:rPr>
            </w:pPr>
          </w:p>
          <w:p w:rsidR="003B5EA2" w:rsidRPr="00B827EE" w:rsidRDefault="003B5EA2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Shteti</w:t>
            </w:r>
          </w:p>
          <w:p w:rsidR="003B5EA2" w:rsidRPr="00B827EE" w:rsidRDefault="003B5EA2" w:rsidP="003B5E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3B5EA2" w:rsidRPr="00B827EE" w:rsidRDefault="003B5EA2" w:rsidP="003220AF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Numri i bursave mujore në dispozicion për qytetarët e shtetit për vitin akademik 2019/20</w:t>
            </w:r>
          </w:p>
          <w:p w:rsidR="003B5EA2" w:rsidRPr="00B827EE" w:rsidRDefault="003B5EA2" w:rsidP="003220AF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(d.m.th. 1.10.2019 – 30.9.2010)</w:t>
            </w:r>
          </w:p>
        </w:tc>
      </w:tr>
      <w:tr w:rsidR="003B5EA2" w:rsidRPr="00B827EE" w:rsidTr="00B83588">
        <w:tc>
          <w:tcPr>
            <w:tcW w:w="3420" w:type="dxa"/>
          </w:tcPr>
          <w:p w:rsidR="003B5EA2" w:rsidRPr="00B827EE" w:rsidRDefault="003B5EA2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Bullgaria</w:t>
            </w:r>
          </w:p>
        </w:tc>
        <w:tc>
          <w:tcPr>
            <w:tcW w:w="2880" w:type="dxa"/>
          </w:tcPr>
          <w:p w:rsidR="003B5EA2" w:rsidRPr="00B827EE" w:rsidRDefault="007416AB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14</w:t>
            </w:r>
          </w:p>
        </w:tc>
      </w:tr>
      <w:tr w:rsidR="003B5EA2" w:rsidRPr="00B827EE" w:rsidTr="00B83588">
        <w:tc>
          <w:tcPr>
            <w:tcW w:w="3420" w:type="dxa"/>
          </w:tcPr>
          <w:p w:rsidR="003B5EA2" w:rsidRPr="00B827EE" w:rsidRDefault="007416AB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Bosnja dhe Hercegovina</w:t>
            </w:r>
          </w:p>
        </w:tc>
        <w:tc>
          <w:tcPr>
            <w:tcW w:w="2880" w:type="dxa"/>
          </w:tcPr>
          <w:p w:rsidR="003B5EA2" w:rsidRPr="00B827EE" w:rsidRDefault="007416AB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18</w:t>
            </w:r>
          </w:p>
        </w:tc>
      </w:tr>
      <w:tr w:rsidR="003B5EA2" w:rsidRPr="00B827EE" w:rsidTr="00B83588">
        <w:tc>
          <w:tcPr>
            <w:tcW w:w="3420" w:type="dxa"/>
          </w:tcPr>
          <w:p w:rsidR="003B5EA2" w:rsidRPr="00B827EE" w:rsidRDefault="00E0127D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Greqia</w:t>
            </w:r>
          </w:p>
        </w:tc>
        <w:tc>
          <w:tcPr>
            <w:tcW w:w="2880" w:type="dxa"/>
          </w:tcPr>
          <w:p w:rsidR="003B5EA2" w:rsidRPr="00B827EE" w:rsidRDefault="00E0127D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10</w:t>
            </w:r>
          </w:p>
        </w:tc>
      </w:tr>
      <w:tr w:rsidR="003B5EA2" w:rsidRPr="00B827EE" w:rsidTr="00B83588">
        <w:tc>
          <w:tcPr>
            <w:tcW w:w="3420" w:type="dxa"/>
          </w:tcPr>
          <w:p w:rsidR="003B5EA2" w:rsidRPr="00B827EE" w:rsidRDefault="00E0127D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Hungaria</w:t>
            </w:r>
          </w:p>
        </w:tc>
        <w:tc>
          <w:tcPr>
            <w:tcW w:w="2880" w:type="dxa"/>
          </w:tcPr>
          <w:p w:rsidR="003B5EA2" w:rsidRPr="00B827EE" w:rsidRDefault="00E0127D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16</w:t>
            </w:r>
          </w:p>
        </w:tc>
      </w:tr>
      <w:tr w:rsidR="003B5EA2" w:rsidRPr="00B827EE" w:rsidTr="00B83588">
        <w:tc>
          <w:tcPr>
            <w:tcW w:w="3420" w:type="dxa"/>
          </w:tcPr>
          <w:p w:rsidR="003B5EA2" w:rsidRPr="00B827EE" w:rsidRDefault="00E0127D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2880" w:type="dxa"/>
          </w:tcPr>
          <w:p w:rsidR="003B5EA2" w:rsidRPr="00B827EE" w:rsidRDefault="00E0127D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24</w:t>
            </w:r>
          </w:p>
        </w:tc>
      </w:tr>
      <w:tr w:rsidR="003B5EA2" w:rsidRPr="00B827EE" w:rsidTr="00B83588">
        <w:tc>
          <w:tcPr>
            <w:tcW w:w="3420" w:type="dxa"/>
          </w:tcPr>
          <w:p w:rsidR="003B5EA2" w:rsidRPr="00B827EE" w:rsidRDefault="00E0127D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Izraeli</w:t>
            </w:r>
          </w:p>
        </w:tc>
        <w:tc>
          <w:tcPr>
            <w:tcW w:w="2880" w:type="dxa"/>
          </w:tcPr>
          <w:p w:rsidR="003B5EA2" w:rsidRPr="00B827EE" w:rsidRDefault="00E0127D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27</w:t>
            </w:r>
          </w:p>
        </w:tc>
      </w:tr>
      <w:tr w:rsidR="003B5EA2" w:rsidRPr="00B827EE" w:rsidTr="00B83588">
        <w:tc>
          <w:tcPr>
            <w:tcW w:w="3420" w:type="dxa"/>
          </w:tcPr>
          <w:p w:rsidR="003B5EA2" w:rsidRPr="00B827EE" w:rsidRDefault="00E0127D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Italia</w:t>
            </w:r>
          </w:p>
        </w:tc>
        <w:tc>
          <w:tcPr>
            <w:tcW w:w="2880" w:type="dxa"/>
          </w:tcPr>
          <w:p w:rsidR="003B5EA2" w:rsidRPr="00B827EE" w:rsidRDefault="00E0127D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20</w:t>
            </w:r>
          </w:p>
        </w:tc>
      </w:tr>
      <w:tr w:rsidR="00E0127D" w:rsidRPr="00B827EE" w:rsidTr="00B83588">
        <w:tc>
          <w:tcPr>
            <w:tcW w:w="3420" w:type="dxa"/>
          </w:tcPr>
          <w:p w:rsidR="00E0127D" w:rsidRPr="00B827EE" w:rsidRDefault="00E0127D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Japonia</w:t>
            </w:r>
          </w:p>
        </w:tc>
        <w:tc>
          <w:tcPr>
            <w:tcW w:w="2880" w:type="dxa"/>
          </w:tcPr>
          <w:p w:rsidR="00E0127D" w:rsidRPr="00B827EE" w:rsidRDefault="00E0127D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12</w:t>
            </w:r>
          </w:p>
        </w:tc>
      </w:tr>
      <w:tr w:rsidR="00E0127D" w:rsidRPr="00B827EE" w:rsidTr="00B83588">
        <w:tc>
          <w:tcPr>
            <w:tcW w:w="3420" w:type="dxa"/>
          </w:tcPr>
          <w:p w:rsidR="00E0127D" w:rsidRPr="00B827EE" w:rsidRDefault="00E0127D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Kosova</w:t>
            </w:r>
          </w:p>
        </w:tc>
        <w:tc>
          <w:tcPr>
            <w:tcW w:w="2880" w:type="dxa"/>
          </w:tcPr>
          <w:p w:rsidR="00E0127D" w:rsidRPr="00B827EE" w:rsidRDefault="00E0127D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18</w:t>
            </w:r>
          </w:p>
        </w:tc>
      </w:tr>
      <w:tr w:rsidR="00E0127D" w:rsidRPr="00B827EE" w:rsidTr="00B83588">
        <w:tc>
          <w:tcPr>
            <w:tcW w:w="3420" w:type="dxa"/>
          </w:tcPr>
          <w:p w:rsidR="00E0127D" w:rsidRPr="00B827EE" w:rsidRDefault="00E0127D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Meksika</w:t>
            </w:r>
          </w:p>
        </w:tc>
        <w:tc>
          <w:tcPr>
            <w:tcW w:w="2880" w:type="dxa"/>
          </w:tcPr>
          <w:p w:rsidR="00E0127D" w:rsidRPr="00B827EE" w:rsidRDefault="00E0127D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24</w:t>
            </w:r>
          </w:p>
        </w:tc>
      </w:tr>
      <w:tr w:rsidR="00E0127D" w:rsidRPr="00B827EE" w:rsidTr="00B83588">
        <w:tc>
          <w:tcPr>
            <w:tcW w:w="3420" w:type="dxa"/>
          </w:tcPr>
          <w:p w:rsidR="00E0127D" w:rsidRPr="00B827EE" w:rsidRDefault="00286233" w:rsidP="00286233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Mali i Zi</w:t>
            </w:r>
          </w:p>
        </w:tc>
        <w:tc>
          <w:tcPr>
            <w:tcW w:w="2880" w:type="dxa"/>
          </w:tcPr>
          <w:p w:rsidR="00E0127D" w:rsidRPr="00B827EE" w:rsidRDefault="00286233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18</w:t>
            </w:r>
          </w:p>
        </w:tc>
      </w:tr>
      <w:tr w:rsidR="00E0127D" w:rsidRPr="00B827EE" w:rsidTr="00B83588">
        <w:tc>
          <w:tcPr>
            <w:tcW w:w="3420" w:type="dxa"/>
          </w:tcPr>
          <w:p w:rsidR="00E0127D" w:rsidRPr="00B827EE" w:rsidRDefault="00286233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Polonia</w:t>
            </w:r>
          </w:p>
        </w:tc>
        <w:tc>
          <w:tcPr>
            <w:tcW w:w="2880" w:type="dxa"/>
          </w:tcPr>
          <w:p w:rsidR="00E0127D" w:rsidRPr="00B827EE" w:rsidRDefault="00286233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46</w:t>
            </w:r>
          </w:p>
        </w:tc>
      </w:tr>
      <w:tr w:rsidR="00E0127D" w:rsidRPr="00B827EE" w:rsidTr="00B83588">
        <w:tc>
          <w:tcPr>
            <w:tcW w:w="3420" w:type="dxa"/>
          </w:tcPr>
          <w:p w:rsidR="00E0127D" w:rsidRPr="00B827EE" w:rsidRDefault="00286233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 xml:space="preserve">Republika e Kinës </w:t>
            </w:r>
          </w:p>
        </w:tc>
        <w:tc>
          <w:tcPr>
            <w:tcW w:w="2880" w:type="dxa"/>
          </w:tcPr>
          <w:p w:rsidR="00E0127D" w:rsidRPr="00B827EE" w:rsidRDefault="00286233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72</w:t>
            </w:r>
          </w:p>
        </w:tc>
      </w:tr>
      <w:tr w:rsidR="00E0127D" w:rsidRPr="00B827EE" w:rsidTr="00B83588">
        <w:tc>
          <w:tcPr>
            <w:tcW w:w="3420" w:type="dxa"/>
          </w:tcPr>
          <w:p w:rsidR="00E0127D" w:rsidRPr="00B827EE" w:rsidRDefault="00286233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Republika e Maqedonisë</w:t>
            </w:r>
          </w:p>
        </w:tc>
        <w:tc>
          <w:tcPr>
            <w:tcW w:w="2880" w:type="dxa"/>
          </w:tcPr>
          <w:p w:rsidR="00E0127D" w:rsidRPr="00B827EE" w:rsidRDefault="00286233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36</w:t>
            </w:r>
          </w:p>
        </w:tc>
      </w:tr>
      <w:tr w:rsidR="00E0127D" w:rsidRPr="00B827EE" w:rsidTr="00B83588">
        <w:tc>
          <w:tcPr>
            <w:tcW w:w="3420" w:type="dxa"/>
          </w:tcPr>
          <w:p w:rsidR="00E0127D" w:rsidRPr="00B827EE" w:rsidRDefault="00286233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Federata Ruse</w:t>
            </w:r>
          </w:p>
        </w:tc>
        <w:tc>
          <w:tcPr>
            <w:tcW w:w="2880" w:type="dxa"/>
          </w:tcPr>
          <w:p w:rsidR="00E0127D" w:rsidRPr="00B827EE" w:rsidRDefault="00286233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16</w:t>
            </w:r>
          </w:p>
        </w:tc>
      </w:tr>
      <w:tr w:rsidR="00286233" w:rsidRPr="00B827EE" w:rsidTr="00B83588">
        <w:tc>
          <w:tcPr>
            <w:tcW w:w="3420" w:type="dxa"/>
          </w:tcPr>
          <w:p w:rsidR="00286233" w:rsidRPr="00B827EE" w:rsidRDefault="00286233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Serbia</w:t>
            </w:r>
          </w:p>
        </w:tc>
        <w:tc>
          <w:tcPr>
            <w:tcW w:w="2880" w:type="dxa"/>
          </w:tcPr>
          <w:p w:rsidR="00286233" w:rsidRPr="00B827EE" w:rsidRDefault="00286233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18</w:t>
            </w:r>
          </w:p>
        </w:tc>
      </w:tr>
      <w:tr w:rsidR="00286233" w:rsidRPr="00B827EE" w:rsidTr="00B83588">
        <w:tc>
          <w:tcPr>
            <w:tcW w:w="3420" w:type="dxa"/>
          </w:tcPr>
          <w:p w:rsidR="00286233" w:rsidRPr="00B827EE" w:rsidRDefault="00286233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Sllovakia</w:t>
            </w:r>
          </w:p>
        </w:tc>
        <w:tc>
          <w:tcPr>
            <w:tcW w:w="2880" w:type="dxa"/>
          </w:tcPr>
          <w:p w:rsidR="00286233" w:rsidRPr="00B827EE" w:rsidRDefault="00286233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20</w:t>
            </w:r>
          </w:p>
        </w:tc>
      </w:tr>
      <w:tr w:rsidR="00286233" w:rsidRPr="00B827EE" w:rsidTr="00B83588">
        <w:tc>
          <w:tcPr>
            <w:tcW w:w="3420" w:type="dxa"/>
          </w:tcPr>
          <w:p w:rsidR="00286233" w:rsidRPr="00B827EE" w:rsidRDefault="00286233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 xml:space="preserve">Zvicra </w:t>
            </w:r>
          </w:p>
        </w:tc>
        <w:tc>
          <w:tcPr>
            <w:tcW w:w="2880" w:type="dxa"/>
          </w:tcPr>
          <w:p w:rsidR="00286233" w:rsidRPr="00B827EE" w:rsidRDefault="00286233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12</w:t>
            </w:r>
          </w:p>
        </w:tc>
      </w:tr>
      <w:tr w:rsidR="00286233" w:rsidRPr="00B827EE" w:rsidTr="00B83588">
        <w:tc>
          <w:tcPr>
            <w:tcW w:w="3420" w:type="dxa"/>
          </w:tcPr>
          <w:p w:rsidR="00286233" w:rsidRPr="00B827EE" w:rsidRDefault="00286233" w:rsidP="00E0127D">
            <w:pPr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Turqia</w:t>
            </w:r>
          </w:p>
        </w:tc>
        <w:tc>
          <w:tcPr>
            <w:tcW w:w="2880" w:type="dxa"/>
          </w:tcPr>
          <w:p w:rsidR="00286233" w:rsidRPr="00B827EE" w:rsidRDefault="00286233" w:rsidP="003B5EA2">
            <w:pPr>
              <w:jc w:val="center"/>
              <w:rPr>
                <w:rFonts w:asciiTheme="minorHAnsi" w:hAnsiTheme="minorHAnsi" w:cstheme="minorHAnsi"/>
              </w:rPr>
            </w:pPr>
            <w:r w:rsidRPr="00B827EE">
              <w:rPr>
                <w:rFonts w:asciiTheme="minorHAnsi" w:hAnsiTheme="minorHAnsi" w:cstheme="minorHAnsi"/>
              </w:rPr>
              <w:t>9</w:t>
            </w:r>
          </w:p>
        </w:tc>
      </w:tr>
    </w:tbl>
    <w:p w:rsidR="00AB23FE" w:rsidRPr="00B827EE" w:rsidRDefault="00AB23FE" w:rsidP="00EA713F">
      <w:pPr>
        <w:jc w:val="center"/>
        <w:rPr>
          <w:rFonts w:asciiTheme="minorHAnsi" w:hAnsiTheme="minorHAnsi" w:cstheme="minorHAnsi"/>
        </w:rPr>
      </w:pPr>
    </w:p>
    <w:p w:rsidR="00AB23FE" w:rsidRPr="00B827EE" w:rsidRDefault="00AB23FE" w:rsidP="00AB23FE">
      <w:pPr>
        <w:rPr>
          <w:rFonts w:asciiTheme="minorHAnsi" w:hAnsiTheme="minorHAnsi" w:cstheme="minorHAnsi"/>
        </w:rPr>
      </w:pPr>
    </w:p>
    <w:p w:rsidR="00EA713F" w:rsidRPr="00B827EE" w:rsidRDefault="00EA713F" w:rsidP="00EA713F">
      <w:pPr>
        <w:jc w:val="center"/>
        <w:rPr>
          <w:rFonts w:asciiTheme="minorHAnsi" w:hAnsiTheme="minorHAnsi" w:cstheme="minorHAnsi"/>
        </w:rPr>
      </w:pPr>
    </w:p>
    <w:p w:rsidR="00EA713F" w:rsidRPr="00B827EE" w:rsidRDefault="00EA713F" w:rsidP="00B83588">
      <w:pPr>
        <w:rPr>
          <w:rFonts w:asciiTheme="minorHAnsi" w:hAnsiTheme="minorHAnsi" w:cstheme="minorHAnsi"/>
        </w:rPr>
      </w:pPr>
    </w:p>
    <w:p w:rsidR="00C36E89" w:rsidRPr="00B827EE" w:rsidRDefault="00C36E89" w:rsidP="00B83588">
      <w:pPr>
        <w:rPr>
          <w:rFonts w:asciiTheme="minorHAnsi" w:hAnsiTheme="minorHAnsi" w:cstheme="minorHAnsi"/>
        </w:rPr>
      </w:pPr>
    </w:p>
    <w:p w:rsidR="00C36E89" w:rsidRPr="00B827EE" w:rsidRDefault="00C36E89" w:rsidP="00B83588">
      <w:pPr>
        <w:rPr>
          <w:rFonts w:asciiTheme="minorHAnsi" w:hAnsiTheme="minorHAnsi" w:cstheme="minorHAnsi"/>
        </w:rPr>
      </w:pPr>
    </w:p>
    <w:p w:rsidR="00C36E89" w:rsidRPr="00B827EE" w:rsidRDefault="00C36E89" w:rsidP="00B83588">
      <w:pPr>
        <w:rPr>
          <w:rFonts w:asciiTheme="minorHAnsi" w:hAnsiTheme="minorHAnsi" w:cstheme="minorHAnsi"/>
        </w:rPr>
      </w:pPr>
    </w:p>
    <w:p w:rsidR="00C36E89" w:rsidRPr="00B827EE" w:rsidRDefault="00C36E89" w:rsidP="00B83588">
      <w:pPr>
        <w:rPr>
          <w:rFonts w:asciiTheme="minorHAnsi" w:hAnsiTheme="minorHAnsi" w:cstheme="minorHAnsi"/>
        </w:rPr>
      </w:pPr>
    </w:p>
    <w:p w:rsidR="00C36E89" w:rsidRPr="00B827EE" w:rsidRDefault="00C36E89" w:rsidP="00B83588">
      <w:pPr>
        <w:rPr>
          <w:rFonts w:asciiTheme="minorHAnsi" w:hAnsiTheme="minorHAnsi" w:cstheme="minorHAnsi"/>
        </w:rPr>
      </w:pPr>
    </w:p>
    <w:p w:rsidR="00C36E89" w:rsidRPr="00B827EE" w:rsidRDefault="00C36E89" w:rsidP="00B83588">
      <w:pPr>
        <w:rPr>
          <w:rFonts w:asciiTheme="minorHAnsi" w:hAnsiTheme="minorHAnsi" w:cstheme="minorHAnsi"/>
        </w:rPr>
      </w:pPr>
    </w:p>
    <w:p w:rsidR="00C36E89" w:rsidRPr="00B827EE" w:rsidRDefault="00C36E89" w:rsidP="00B83588">
      <w:pPr>
        <w:rPr>
          <w:rFonts w:asciiTheme="minorHAnsi" w:hAnsiTheme="minorHAnsi" w:cstheme="minorHAnsi"/>
        </w:rPr>
      </w:pPr>
    </w:p>
    <w:p w:rsidR="00C36E89" w:rsidRPr="00B827EE" w:rsidRDefault="00C36E89" w:rsidP="00B83588">
      <w:pPr>
        <w:rPr>
          <w:rFonts w:asciiTheme="minorHAnsi" w:hAnsiTheme="minorHAnsi" w:cstheme="minorHAnsi"/>
        </w:rPr>
      </w:pPr>
    </w:p>
    <w:p w:rsidR="00EA713F" w:rsidRPr="00B827EE" w:rsidRDefault="00813F45" w:rsidP="00C36E89">
      <w:pPr>
        <w:jc w:val="center"/>
        <w:rPr>
          <w:rFonts w:asciiTheme="minorHAnsi" w:hAnsiTheme="minorHAnsi" w:cstheme="minorHAnsi"/>
          <w:b/>
        </w:rPr>
      </w:pPr>
      <w:r w:rsidRPr="00B827EE">
        <w:rPr>
          <w:rFonts w:asciiTheme="minorHAnsi" w:hAnsiTheme="minorHAnsi" w:cstheme="minorHAnsi"/>
          <w:b/>
        </w:rPr>
        <w:t xml:space="preserve">Bursat u dhurohen </w:t>
      </w:r>
      <w:r w:rsidR="00C36E89" w:rsidRPr="00B827EE">
        <w:rPr>
          <w:rFonts w:asciiTheme="minorHAnsi" w:hAnsiTheme="minorHAnsi" w:cstheme="minorHAnsi"/>
          <w:b/>
        </w:rPr>
        <w:t>aplikantëve të emëruar nga autoritetet komp</w:t>
      </w:r>
      <w:r w:rsidRPr="00B827EE">
        <w:rPr>
          <w:rFonts w:asciiTheme="minorHAnsi" w:hAnsiTheme="minorHAnsi" w:cstheme="minorHAnsi"/>
          <w:b/>
        </w:rPr>
        <w:t xml:space="preserve">etente të vendeve </w:t>
      </w:r>
      <w:r w:rsidR="0055651C" w:rsidRPr="00B827EE">
        <w:rPr>
          <w:rFonts w:asciiTheme="minorHAnsi" w:hAnsiTheme="minorHAnsi" w:cstheme="minorHAnsi"/>
          <w:b/>
        </w:rPr>
        <w:t>të pranuara</w:t>
      </w:r>
    </w:p>
    <w:p w:rsidR="00D64B76" w:rsidRPr="00B827EE" w:rsidRDefault="00D64B76" w:rsidP="00C36E89">
      <w:pPr>
        <w:jc w:val="center"/>
        <w:rPr>
          <w:rFonts w:asciiTheme="minorHAnsi" w:hAnsiTheme="minorHAnsi" w:cstheme="minorHAnsi"/>
        </w:rPr>
      </w:pPr>
    </w:p>
    <w:p w:rsidR="00D64B76" w:rsidRPr="00B827EE" w:rsidRDefault="00D64B76" w:rsidP="00D64B76">
      <w:pPr>
        <w:rPr>
          <w:rFonts w:asciiTheme="minorHAnsi" w:hAnsiTheme="minorHAnsi" w:cstheme="minorHAnsi"/>
        </w:rPr>
      </w:pPr>
    </w:p>
    <w:p w:rsidR="00FA05D2" w:rsidRPr="00B827EE" w:rsidRDefault="00D64B76" w:rsidP="00D64B76">
      <w:pPr>
        <w:rPr>
          <w:rFonts w:asciiTheme="minorHAnsi" w:hAnsiTheme="minorHAnsi" w:cstheme="minorHAnsi"/>
        </w:rPr>
      </w:pPr>
      <w:r w:rsidRPr="00B827EE">
        <w:rPr>
          <w:rFonts w:asciiTheme="minorHAnsi" w:hAnsiTheme="minorHAnsi" w:cstheme="minorHAnsi"/>
        </w:rPr>
        <w:t xml:space="preserve">Skema e bursës është dizajnuar për studentët e universiteteve/kolegjeve ose të diplomuarve dhe </w:t>
      </w:r>
      <w:r w:rsidR="0052458E" w:rsidRPr="00B827EE">
        <w:rPr>
          <w:rFonts w:asciiTheme="minorHAnsi" w:hAnsiTheme="minorHAnsi" w:cstheme="minorHAnsi"/>
        </w:rPr>
        <w:t xml:space="preserve">atyre që aplikojnë </w:t>
      </w:r>
      <w:r w:rsidRPr="00B827EE">
        <w:rPr>
          <w:rFonts w:asciiTheme="minorHAnsi" w:hAnsiTheme="minorHAnsi" w:cstheme="minorHAnsi"/>
        </w:rPr>
        <w:t xml:space="preserve">për </w:t>
      </w:r>
      <w:r w:rsidR="0052458E" w:rsidRPr="00B827EE">
        <w:rPr>
          <w:rFonts w:asciiTheme="minorHAnsi" w:hAnsiTheme="minorHAnsi" w:cstheme="minorHAnsi"/>
        </w:rPr>
        <w:t xml:space="preserve">programin e </w:t>
      </w:r>
      <w:r w:rsidR="00F80808" w:rsidRPr="00B827EE">
        <w:rPr>
          <w:rFonts w:asciiTheme="minorHAnsi" w:hAnsiTheme="minorHAnsi" w:cstheme="minorHAnsi"/>
        </w:rPr>
        <w:t>doktora</w:t>
      </w:r>
      <w:r w:rsidRPr="00B827EE">
        <w:rPr>
          <w:rFonts w:asciiTheme="minorHAnsi" w:hAnsiTheme="minorHAnsi" w:cstheme="minorHAnsi"/>
        </w:rPr>
        <w:t>turë</w:t>
      </w:r>
      <w:r w:rsidR="0052458E" w:rsidRPr="00B827EE">
        <w:rPr>
          <w:rFonts w:asciiTheme="minorHAnsi" w:hAnsiTheme="minorHAnsi" w:cstheme="minorHAnsi"/>
        </w:rPr>
        <w:t>s</w:t>
      </w:r>
      <w:r w:rsidR="00F362FB" w:rsidRPr="00B827EE">
        <w:rPr>
          <w:rFonts w:asciiTheme="minorHAnsi" w:hAnsiTheme="minorHAnsi" w:cstheme="minorHAnsi"/>
        </w:rPr>
        <w:t>, të cilët dëshirojnë të përfundojnë</w:t>
      </w:r>
      <w:r w:rsidR="004B5512" w:rsidRPr="00B827EE">
        <w:rPr>
          <w:rFonts w:asciiTheme="minorHAnsi" w:hAnsiTheme="minorHAnsi" w:cstheme="minorHAnsi"/>
        </w:rPr>
        <w:t xml:space="preserve"> </w:t>
      </w:r>
      <w:r w:rsidR="00E5658B" w:rsidRPr="00B827EE">
        <w:rPr>
          <w:rFonts w:asciiTheme="minorHAnsi" w:hAnsiTheme="minorHAnsi" w:cstheme="minorHAnsi"/>
        </w:rPr>
        <w:t xml:space="preserve">një pjesë të studimeve në njërin nga </w:t>
      </w:r>
      <w:r w:rsidR="003220AF" w:rsidRPr="00B827EE">
        <w:rPr>
          <w:rFonts w:asciiTheme="minorHAnsi" w:hAnsiTheme="minorHAnsi" w:cstheme="minorHAnsi"/>
          <w:u w:val="single"/>
        </w:rPr>
        <w:t>Institucionet e Arsimit të L</w:t>
      </w:r>
      <w:r w:rsidR="00E5658B" w:rsidRPr="00B827EE">
        <w:rPr>
          <w:rFonts w:asciiTheme="minorHAnsi" w:hAnsiTheme="minorHAnsi" w:cstheme="minorHAnsi"/>
          <w:u w:val="single"/>
        </w:rPr>
        <w:t>artë në Slloveni</w:t>
      </w:r>
      <w:r w:rsidR="00E5658B" w:rsidRPr="00B827EE">
        <w:rPr>
          <w:rFonts w:asciiTheme="minorHAnsi" w:hAnsiTheme="minorHAnsi" w:cstheme="minorHAnsi"/>
        </w:rPr>
        <w:t xml:space="preserve"> (në gjuhën sllovene).</w:t>
      </w:r>
      <w:r w:rsidR="00FA05D2" w:rsidRPr="00B827EE">
        <w:rPr>
          <w:rFonts w:asciiTheme="minorHAnsi" w:hAnsiTheme="minorHAnsi" w:cstheme="minorHAnsi"/>
        </w:rPr>
        <w:t xml:space="preserve"> Një pjesë e studimeve pasuniversitare është e bazuar në punën individuale nën mbikqyrjen e profesorit/mentorit slloven. </w:t>
      </w:r>
    </w:p>
    <w:p w:rsidR="00FA05D2" w:rsidRPr="00B827EE" w:rsidRDefault="00FA05D2" w:rsidP="00D64B76">
      <w:pPr>
        <w:rPr>
          <w:rFonts w:asciiTheme="minorHAnsi" w:hAnsiTheme="minorHAnsi" w:cstheme="minorHAnsi"/>
        </w:rPr>
      </w:pPr>
    </w:p>
    <w:p w:rsidR="006A0CCB" w:rsidRPr="00B827EE" w:rsidRDefault="00F7713B" w:rsidP="00D64B76">
      <w:pPr>
        <w:rPr>
          <w:rFonts w:asciiTheme="minorHAnsi" w:hAnsiTheme="minorHAnsi" w:cstheme="minorHAnsi"/>
        </w:rPr>
      </w:pPr>
      <w:r w:rsidRPr="00B827EE">
        <w:rPr>
          <w:rFonts w:asciiTheme="minorHAnsi" w:hAnsiTheme="minorHAnsi" w:cstheme="minorHAnsi"/>
        </w:rPr>
        <w:t>Kohëzgjatja variron nga 3</w:t>
      </w:r>
      <w:r w:rsidR="00F80808" w:rsidRPr="00B827EE">
        <w:rPr>
          <w:rFonts w:asciiTheme="minorHAnsi" w:hAnsiTheme="minorHAnsi" w:cstheme="minorHAnsi"/>
        </w:rPr>
        <w:t xml:space="preserve"> deri në</w:t>
      </w:r>
      <w:r w:rsidR="00FA05D2" w:rsidRPr="00B827EE">
        <w:rPr>
          <w:rFonts w:asciiTheme="minorHAnsi" w:hAnsiTheme="minorHAnsi" w:cstheme="minorHAnsi"/>
        </w:rPr>
        <w:t xml:space="preserve"> 10 muaj, varësisht nga marrëveshja </w:t>
      </w:r>
      <w:r w:rsidR="003151FF" w:rsidRPr="00B827EE">
        <w:rPr>
          <w:rFonts w:asciiTheme="minorHAnsi" w:hAnsiTheme="minorHAnsi" w:cstheme="minorHAnsi"/>
        </w:rPr>
        <w:t xml:space="preserve">e ndërlidhur </w:t>
      </w:r>
      <w:r w:rsidR="00BC003F" w:rsidRPr="00B827EE">
        <w:rPr>
          <w:rFonts w:asciiTheme="minorHAnsi" w:hAnsiTheme="minorHAnsi" w:cstheme="minorHAnsi"/>
        </w:rPr>
        <w:t xml:space="preserve">që </w:t>
      </w:r>
      <w:r w:rsidR="003151FF" w:rsidRPr="00B827EE">
        <w:rPr>
          <w:rFonts w:asciiTheme="minorHAnsi" w:hAnsiTheme="minorHAnsi" w:cstheme="minorHAnsi"/>
        </w:rPr>
        <w:t xml:space="preserve">specifikon edhe kategoritë e </w:t>
      </w:r>
      <w:r w:rsidR="00F80808" w:rsidRPr="00B827EE">
        <w:rPr>
          <w:rFonts w:asciiTheme="minorHAnsi" w:hAnsiTheme="minorHAnsi" w:cstheme="minorHAnsi"/>
        </w:rPr>
        <w:t xml:space="preserve">së </w:t>
      </w:r>
      <w:r w:rsidR="003151FF" w:rsidRPr="00B827EE">
        <w:rPr>
          <w:rFonts w:asciiTheme="minorHAnsi" w:hAnsiTheme="minorHAnsi" w:cstheme="minorHAnsi"/>
        </w:rPr>
        <w:t>drejtës për marrje të bursës.</w:t>
      </w:r>
    </w:p>
    <w:p w:rsidR="006A0CCB" w:rsidRPr="00B827EE" w:rsidRDefault="006A0CCB" w:rsidP="00D64B76">
      <w:pPr>
        <w:rPr>
          <w:rFonts w:asciiTheme="minorHAnsi" w:hAnsiTheme="minorHAnsi" w:cstheme="minorHAnsi"/>
        </w:rPr>
      </w:pPr>
    </w:p>
    <w:p w:rsidR="00D64B76" w:rsidRPr="00B827EE" w:rsidRDefault="006A0CCB" w:rsidP="00D64B76">
      <w:pPr>
        <w:rPr>
          <w:rFonts w:asciiTheme="minorHAnsi" w:hAnsiTheme="minorHAnsi" w:cstheme="minorHAnsi"/>
        </w:rPr>
      </w:pPr>
      <w:r w:rsidRPr="00B827EE">
        <w:rPr>
          <w:rFonts w:asciiTheme="minorHAnsi" w:hAnsiTheme="minorHAnsi" w:cstheme="minorHAnsi"/>
        </w:rPr>
        <w:t xml:space="preserve">Bursa </w:t>
      </w:r>
      <w:r w:rsidR="00C83812" w:rsidRPr="00B827EE">
        <w:rPr>
          <w:rFonts w:asciiTheme="minorHAnsi" w:hAnsiTheme="minorHAnsi" w:cstheme="minorHAnsi"/>
        </w:rPr>
        <w:t>e d</w:t>
      </w:r>
      <w:r w:rsidR="006C6317" w:rsidRPr="00B827EE">
        <w:rPr>
          <w:rFonts w:asciiTheme="minorHAnsi" w:hAnsiTheme="minorHAnsi" w:cstheme="minorHAnsi"/>
        </w:rPr>
        <w:t>h</w:t>
      </w:r>
      <w:r w:rsidR="00C83812" w:rsidRPr="00B827EE">
        <w:rPr>
          <w:rFonts w:asciiTheme="minorHAnsi" w:hAnsiTheme="minorHAnsi" w:cstheme="minorHAnsi"/>
        </w:rPr>
        <w:t>uruar</w:t>
      </w:r>
      <w:r w:rsidR="00585E61" w:rsidRPr="00B827EE">
        <w:rPr>
          <w:rFonts w:asciiTheme="minorHAnsi" w:hAnsiTheme="minorHAnsi" w:cstheme="minorHAnsi"/>
        </w:rPr>
        <w:t xml:space="preserve"> </w:t>
      </w:r>
      <w:r w:rsidRPr="00B827EE">
        <w:rPr>
          <w:rFonts w:asciiTheme="minorHAnsi" w:hAnsiTheme="minorHAnsi" w:cstheme="minorHAnsi"/>
          <w:b/>
        </w:rPr>
        <w:t>nuk mund të</w:t>
      </w:r>
      <w:r w:rsidR="00847DDB" w:rsidRPr="00B827EE">
        <w:rPr>
          <w:rFonts w:asciiTheme="minorHAnsi" w:hAnsiTheme="minorHAnsi" w:cstheme="minorHAnsi"/>
          <w:b/>
        </w:rPr>
        <w:t xml:space="preserve"> cilësohet si </w:t>
      </w:r>
      <w:r w:rsidR="00585E61" w:rsidRPr="00B827EE">
        <w:rPr>
          <w:rFonts w:asciiTheme="minorHAnsi" w:hAnsiTheme="minorHAnsi" w:cstheme="minorHAnsi"/>
          <w:b/>
        </w:rPr>
        <w:t>kurs studimi që mund të finalizojë një gradë shkencore</w:t>
      </w:r>
      <w:r w:rsidR="00585E61" w:rsidRPr="00B827EE">
        <w:rPr>
          <w:rFonts w:asciiTheme="minorHAnsi" w:hAnsiTheme="minorHAnsi" w:cstheme="minorHAnsi"/>
        </w:rPr>
        <w:t>.</w:t>
      </w:r>
    </w:p>
    <w:p w:rsidR="00C83812" w:rsidRPr="00B827EE" w:rsidRDefault="00C83812" w:rsidP="00D64B76">
      <w:pPr>
        <w:rPr>
          <w:rFonts w:asciiTheme="minorHAnsi" w:hAnsiTheme="minorHAnsi" w:cstheme="minorHAnsi"/>
        </w:rPr>
      </w:pPr>
    </w:p>
    <w:p w:rsidR="00D16177" w:rsidRPr="00B827EE" w:rsidRDefault="00C83812" w:rsidP="00D64B76">
      <w:pPr>
        <w:rPr>
          <w:rFonts w:asciiTheme="minorHAnsi" w:hAnsiTheme="minorHAnsi" w:cstheme="minorHAnsi"/>
        </w:rPr>
      </w:pPr>
      <w:r w:rsidRPr="00B827EE">
        <w:rPr>
          <w:rFonts w:asciiTheme="minorHAnsi" w:hAnsiTheme="minorHAnsi" w:cstheme="minorHAnsi"/>
        </w:rPr>
        <w:t>Gjithashtu, bursa nuk mund të konsiderohet si shpërblim për ndonjë kurs të gjuhës Sllovene.</w:t>
      </w:r>
    </w:p>
    <w:p w:rsidR="00E865BB" w:rsidRPr="00B827EE" w:rsidRDefault="00E865BB" w:rsidP="00D64B76">
      <w:pPr>
        <w:rPr>
          <w:rFonts w:asciiTheme="minorHAnsi" w:hAnsiTheme="minorHAnsi" w:cstheme="minorHAnsi"/>
        </w:rPr>
      </w:pPr>
    </w:p>
    <w:p w:rsidR="008E4081" w:rsidRPr="00B827EE" w:rsidRDefault="00F80808" w:rsidP="00D64B76">
      <w:pPr>
        <w:rPr>
          <w:rFonts w:asciiTheme="minorHAnsi" w:hAnsiTheme="minorHAnsi" w:cstheme="minorHAnsi"/>
        </w:rPr>
      </w:pPr>
      <w:r w:rsidRPr="00B827EE">
        <w:rPr>
          <w:rFonts w:asciiTheme="minorHAnsi" w:hAnsiTheme="minorHAnsi" w:cstheme="minorHAnsi"/>
        </w:rPr>
        <w:t xml:space="preserve">Luteni të </w:t>
      </w:r>
      <w:r w:rsidR="00D16177" w:rsidRPr="00B827EE">
        <w:rPr>
          <w:rFonts w:asciiTheme="minorHAnsi" w:hAnsiTheme="minorHAnsi" w:cstheme="minorHAnsi"/>
        </w:rPr>
        <w:t xml:space="preserve">vini re se </w:t>
      </w:r>
      <w:r w:rsidR="00D16177" w:rsidRPr="00B827EE">
        <w:rPr>
          <w:rFonts w:asciiTheme="minorHAnsi" w:hAnsiTheme="minorHAnsi" w:cstheme="minorHAnsi"/>
          <w:b/>
        </w:rPr>
        <w:t>tarifat pë</w:t>
      </w:r>
      <w:r w:rsidR="00E865BB" w:rsidRPr="00B827EE">
        <w:rPr>
          <w:rFonts w:asciiTheme="minorHAnsi" w:hAnsiTheme="minorHAnsi" w:cstheme="minorHAnsi"/>
          <w:b/>
        </w:rPr>
        <w:t>r shkollim</w:t>
      </w:r>
      <w:r w:rsidR="00E865BB" w:rsidRPr="00B827EE">
        <w:rPr>
          <w:rFonts w:asciiTheme="minorHAnsi" w:hAnsiTheme="minorHAnsi" w:cstheme="minorHAnsi"/>
        </w:rPr>
        <w:t xml:space="preserve"> nuk mbulohen nga bursa. </w:t>
      </w:r>
    </w:p>
    <w:p w:rsidR="008E4081" w:rsidRPr="00B827EE" w:rsidRDefault="008E4081" w:rsidP="00D64B76">
      <w:pPr>
        <w:rPr>
          <w:rFonts w:asciiTheme="minorHAnsi" w:hAnsiTheme="minorHAnsi" w:cstheme="minorHAnsi"/>
        </w:rPr>
      </w:pPr>
    </w:p>
    <w:p w:rsidR="003F0440" w:rsidRPr="00B827EE" w:rsidRDefault="00320681" w:rsidP="00D64B76">
      <w:pPr>
        <w:rPr>
          <w:rFonts w:asciiTheme="minorHAnsi" w:hAnsiTheme="minorHAnsi" w:cstheme="minorHAnsi"/>
        </w:rPr>
      </w:pPr>
      <w:r w:rsidRPr="00B827EE">
        <w:rPr>
          <w:rFonts w:asciiTheme="minorHAnsi" w:hAnsiTheme="minorHAnsi" w:cstheme="minorHAnsi"/>
        </w:rPr>
        <w:t>Shumica</w:t>
      </w:r>
      <w:r w:rsidR="00B827EE">
        <w:rPr>
          <w:rFonts w:asciiTheme="minorHAnsi" w:hAnsiTheme="minorHAnsi" w:cstheme="minorHAnsi"/>
        </w:rPr>
        <w:t xml:space="preserve"> e aplikacioneve pranohen </w:t>
      </w:r>
      <w:r w:rsidRPr="00B827EE">
        <w:rPr>
          <w:rFonts w:asciiTheme="minorHAnsi" w:hAnsiTheme="minorHAnsi" w:cstheme="minorHAnsi"/>
        </w:rPr>
        <w:t xml:space="preserve">për një </w:t>
      </w:r>
      <w:r w:rsidRPr="00B827EE">
        <w:rPr>
          <w:rFonts w:asciiTheme="minorHAnsi" w:hAnsiTheme="minorHAnsi" w:cstheme="minorHAnsi"/>
          <w:b/>
        </w:rPr>
        <w:t>qëndrim të shkurtër studimor</w:t>
      </w:r>
      <w:r w:rsidR="00B827EE">
        <w:rPr>
          <w:rFonts w:asciiTheme="minorHAnsi" w:hAnsiTheme="minorHAnsi" w:cstheme="minorHAnsi"/>
        </w:rPr>
        <w:t xml:space="preserve"> ose </w:t>
      </w:r>
      <w:r w:rsidRPr="00B827EE">
        <w:rPr>
          <w:rFonts w:asciiTheme="minorHAnsi" w:hAnsiTheme="minorHAnsi" w:cstheme="minorHAnsi"/>
          <w:b/>
        </w:rPr>
        <w:t xml:space="preserve">vizita </w:t>
      </w:r>
      <w:r w:rsidR="00C841DD" w:rsidRPr="00B827EE">
        <w:rPr>
          <w:rFonts w:asciiTheme="minorHAnsi" w:hAnsiTheme="minorHAnsi" w:cstheme="minorHAnsi"/>
          <w:b/>
        </w:rPr>
        <w:t>hulumtuese nga studentët/kandidatët</w:t>
      </w:r>
      <w:r w:rsidR="00B827EE" w:rsidRPr="00B827EE">
        <w:rPr>
          <w:rFonts w:asciiTheme="minorHAnsi" w:hAnsiTheme="minorHAnsi" w:cstheme="minorHAnsi"/>
        </w:rPr>
        <w:t xml:space="preserve"> për doktora</w:t>
      </w:r>
      <w:r w:rsidR="00C841DD" w:rsidRPr="00B827EE">
        <w:rPr>
          <w:rFonts w:asciiTheme="minorHAnsi" w:hAnsiTheme="minorHAnsi" w:cstheme="minorHAnsi"/>
        </w:rPr>
        <w:t>turë (p.sh. ata</w:t>
      </w:r>
      <w:r w:rsidR="004C4813" w:rsidRPr="00B827EE">
        <w:rPr>
          <w:rFonts w:asciiTheme="minorHAnsi" w:hAnsiTheme="minorHAnsi" w:cstheme="minorHAnsi"/>
        </w:rPr>
        <w:t xml:space="preserve"> ose ndjekin </w:t>
      </w:r>
      <w:r w:rsidR="0094605B" w:rsidRPr="00B827EE">
        <w:rPr>
          <w:rFonts w:asciiTheme="minorHAnsi" w:hAnsiTheme="minorHAnsi" w:cstheme="minorHAnsi"/>
        </w:rPr>
        <w:t xml:space="preserve">sipas zgjedhjes së tyre </w:t>
      </w:r>
      <w:r w:rsidR="002869E0">
        <w:rPr>
          <w:rFonts w:asciiTheme="minorHAnsi" w:hAnsiTheme="minorHAnsi" w:cstheme="minorHAnsi"/>
        </w:rPr>
        <w:t>kurse</w:t>
      </w:r>
      <w:r w:rsidR="004C4813" w:rsidRPr="00B827EE">
        <w:rPr>
          <w:rFonts w:asciiTheme="minorHAnsi" w:hAnsiTheme="minorHAnsi" w:cstheme="minorHAnsi"/>
        </w:rPr>
        <w:t xml:space="preserve"> </w:t>
      </w:r>
      <w:r w:rsidR="004C4813" w:rsidRPr="000E41AA">
        <w:rPr>
          <w:rFonts w:asciiTheme="minorHAnsi" w:hAnsiTheme="minorHAnsi" w:cstheme="minorHAnsi"/>
        </w:rPr>
        <w:t xml:space="preserve">jashtë </w:t>
      </w:r>
      <w:r w:rsidR="006C6317" w:rsidRPr="000E41AA">
        <w:rPr>
          <w:rFonts w:asciiTheme="minorHAnsi" w:hAnsiTheme="minorHAnsi" w:cstheme="minorHAnsi"/>
        </w:rPr>
        <w:t>studimore</w:t>
      </w:r>
      <w:r w:rsidR="0094605B" w:rsidRPr="000E41AA">
        <w:rPr>
          <w:rFonts w:asciiTheme="minorHAnsi" w:hAnsiTheme="minorHAnsi" w:cstheme="minorHAnsi"/>
        </w:rPr>
        <w:t>,</w:t>
      </w:r>
      <w:r w:rsidR="00250AC9" w:rsidRPr="000E41AA">
        <w:rPr>
          <w:rFonts w:asciiTheme="minorHAnsi" w:hAnsiTheme="minorHAnsi" w:cstheme="minorHAnsi"/>
        </w:rPr>
        <w:t xml:space="preserve"> ose ndjekin aktivitete</w:t>
      </w:r>
      <w:r w:rsidR="0094605B" w:rsidRPr="000E41AA">
        <w:rPr>
          <w:rFonts w:asciiTheme="minorHAnsi" w:hAnsiTheme="minorHAnsi" w:cstheme="minorHAnsi"/>
        </w:rPr>
        <w:t xml:space="preserve"> të pava</w:t>
      </w:r>
      <w:r w:rsidR="00B827EE" w:rsidRPr="000E41AA">
        <w:rPr>
          <w:rFonts w:asciiTheme="minorHAnsi" w:hAnsiTheme="minorHAnsi" w:cstheme="minorHAnsi"/>
        </w:rPr>
        <w:t>rur</w:t>
      </w:r>
      <w:r w:rsidR="00250AC9" w:rsidRPr="000E41AA">
        <w:rPr>
          <w:rFonts w:asciiTheme="minorHAnsi" w:hAnsiTheme="minorHAnsi" w:cstheme="minorHAnsi"/>
        </w:rPr>
        <w:t>a kërkimore</w:t>
      </w:r>
      <w:r w:rsidR="00B827EE" w:rsidRPr="000E41AA">
        <w:rPr>
          <w:rFonts w:asciiTheme="minorHAnsi" w:hAnsiTheme="minorHAnsi" w:cstheme="minorHAnsi"/>
        </w:rPr>
        <w:t xml:space="preserve"> në institucionin mikëpritës, varësisht </w:t>
      </w:r>
      <w:r w:rsidR="0094605B" w:rsidRPr="000E41AA">
        <w:rPr>
          <w:rFonts w:asciiTheme="minorHAnsi" w:hAnsiTheme="minorHAnsi" w:cstheme="minorHAnsi"/>
        </w:rPr>
        <w:t>nga</w:t>
      </w:r>
      <w:r w:rsidR="0094605B" w:rsidRPr="00B827EE">
        <w:rPr>
          <w:rFonts w:asciiTheme="minorHAnsi" w:hAnsiTheme="minorHAnsi" w:cstheme="minorHAnsi"/>
        </w:rPr>
        <w:t xml:space="preserve"> kualifikimet dhe preferencat). Në përputhje me rregullat ligjore në fuqi, vendimi për pranim</w:t>
      </w:r>
      <w:r w:rsidR="002B5A9A">
        <w:rPr>
          <w:rFonts w:asciiTheme="minorHAnsi" w:hAnsiTheme="minorHAnsi" w:cstheme="minorHAnsi"/>
        </w:rPr>
        <w:t>in e aktiviteteve kërkimore</w:t>
      </w:r>
      <w:r w:rsidR="0094605B" w:rsidRPr="00B827EE">
        <w:rPr>
          <w:rFonts w:asciiTheme="minorHAnsi" w:hAnsiTheme="minorHAnsi" w:cstheme="minorHAnsi"/>
        </w:rPr>
        <w:t xml:space="preserve"> </w:t>
      </w:r>
      <w:r w:rsidR="002B5A9A">
        <w:rPr>
          <w:rFonts w:asciiTheme="minorHAnsi" w:hAnsiTheme="minorHAnsi" w:cstheme="minorHAnsi"/>
        </w:rPr>
        <w:t xml:space="preserve">si dhe ai për qëndrim të shkurtër studimor </w:t>
      </w:r>
      <w:r w:rsidR="004872BC" w:rsidRPr="00B827EE">
        <w:rPr>
          <w:rFonts w:asciiTheme="minorHAnsi" w:hAnsiTheme="minorHAnsi" w:cstheme="minorHAnsi"/>
        </w:rPr>
        <w:t>merret nga Institucionet e Arsimit të L</w:t>
      </w:r>
      <w:r w:rsidR="0094605B" w:rsidRPr="00B827EE">
        <w:rPr>
          <w:rFonts w:asciiTheme="minorHAnsi" w:hAnsiTheme="minorHAnsi" w:cstheme="minorHAnsi"/>
        </w:rPr>
        <w:t xml:space="preserve">artë. </w:t>
      </w:r>
      <w:r w:rsidR="0094605B" w:rsidRPr="00B827EE">
        <w:rPr>
          <w:rFonts w:asciiTheme="minorHAnsi" w:hAnsiTheme="minorHAnsi" w:cstheme="minorHAnsi"/>
          <w:b/>
        </w:rPr>
        <w:t xml:space="preserve">Andaj, aplikantët janë të obliguar të kontaktojnë </w:t>
      </w:r>
      <w:r w:rsidR="00984A92" w:rsidRPr="00B827EE">
        <w:rPr>
          <w:rFonts w:asciiTheme="minorHAnsi" w:hAnsiTheme="minorHAnsi" w:cstheme="minorHAnsi"/>
          <w:b/>
        </w:rPr>
        <w:t xml:space="preserve">drejt për së drejti </w:t>
      </w:r>
      <w:r w:rsidR="0094605B" w:rsidRPr="00B827EE">
        <w:rPr>
          <w:rFonts w:asciiTheme="minorHAnsi" w:hAnsiTheme="minorHAnsi" w:cstheme="minorHAnsi"/>
          <w:b/>
        </w:rPr>
        <w:t xml:space="preserve">universitetet e përzgjedhura </w:t>
      </w:r>
      <w:r w:rsidR="00C71938" w:rsidRPr="00B827EE">
        <w:rPr>
          <w:rFonts w:asciiTheme="minorHAnsi" w:hAnsiTheme="minorHAnsi" w:cstheme="minorHAnsi"/>
          <w:b/>
        </w:rPr>
        <w:t>dhe të kërkojnë Letër Pranimi nga departamenti relevant</w:t>
      </w:r>
      <w:r w:rsidR="00C71938" w:rsidRPr="000E41AA">
        <w:rPr>
          <w:rFonts w:asciiTheme="minorHAnsi" w:hAnsiTheme="minorHAnsi" w:cstheme="minorHAnsi"/>
        </w:rPr>
        <w:t xml:space="preserve">. Aplikantëve u kërkohet </w:t>
      </w:r>
      <w:r w:rsidR="000E41AA" w:rsidRPr="000E41AA">
        <w:rPr>
          <w:rFonts w:asciiTheme="minorHAnsi" w:hAnsiTheme="minorHAnsi" w:cstheme="minorHAnsi"/>
        </w:rPr>
        <w:t xml:space="preserve">të tregojnë </w:t>
      </w:r>
      <w:r w:rsidR="003F0440" w:rsidRPr="000E41AA">
        <w:rPr>
          <w:rFonts w:asciiTheme="minorHAnsi" w:hAnsiTheme="minorHAnsi" w:cstheme="minorHAnsi"/>
        </w:rPr>
        <w:t xml:space="preserve"> universitetin e përzgjedhur në të cilin do të aplikojnë për bursën e dhuruar nga marrëveshja dypalëshe.</w:t>
      </w:r>
    </w:p>
    <w:p w:rsidR="00213029" w:rsidRPr="00B827EE" w:rsidRDefault="00213029" w:rsidP="00D64B76">
      <w:pPr>
        <w:rPr>
          <w:rFonts w:asciiTheme="minorHAnsi" w:hAnsiTheme="minorHAnsi" w:cstheme="minorHAnsi"/>
        </w:rPr>
      </w:pPr>
    </w:p>
    <w:p w:rsidR="009344BE" w:rsidRPr="00B827EE" w:rsidRDefault="00213029" w:rsidP="00D64B76">
      <w:pPr>
        <w:rPr>
          <w:rFonts w:asciiTheme="minorHAnsi" w:hAnsiTheme="minorHAnsi" w:cstheme="minorHAnsi"/>
        </w:rPr>
      </w:pPr>
      <w:r w:rsidRPr="00B827EE">
        <w:rPr>
          <w:rFonts w:asciiTheme="minorHAnsi" w:hAnsiTheme="minorHAnsi" w:cstheme="minorHAnsi"/>
          <w:b/>
        </w:rPr>
        <w:t xml:space="preserve">Limiti i moshës </w:t>
      </w:r>
      <w:r w:rsidR="00BF68E4">
        <w:rPr>
          <w:rFonts w:asciiTheme="minorHAnsi" w:hAnsiTheme="minorHAnsi" w:cstheme="minorHAnsi"/>
        </w:rPr>
        <w:t>së aplikantëve për studim është 26 vjeç (aplikuesi</w:t>
      </w:r>
      <w:r w:rsidRPr="00B827EE">
        <w:rPr>
          <w:rFonts w:asciiTheme="minorHAnsi" w:hAnsiTheme="minorHAnsi" w:cstheme="minorHAnsi"/>
        </w:rPr>
        <w:t xml:space="preserve"> mund të mos ketë kompletuar moshën 26 vjeçare para përfundimit të </w:t>
      </w:r>
      <w:r w:rsidR="009344BE" w:rsidRPr="00B827EE">
        <w:rPr>
          <w:rFonts w:asciiTheme="minorHAnsi" w:hAnsiTheme="minorHAnsi" w:cstheme="minorHAnsi"/>
        </w:rPr>
        <w:t>periudhës së bursës) dhe 30 vjeç p</w:t>
      </w:r>
      <w:r w:rsidR="00182BA5" w:rsidRPr="00B827EE">
        <w:rPr>
          <w:rFonts w:asciiTheme="minorHAnsi" w:hAnsiTheme="minorHAnsi" w:cstheme="minorHAnsi"/>
        </w:rPr>
        <w:t xml:space="preserve">ër </w:t>
      </w:r>
      <w:r w:rsidR="009344BE" w:rsidRPr="00B827EE">
        <w:rPr>
          <w:rFonts w:asciiTheme="minorHAnsi" w:hAnsiTheme="minorHAnsi" w:cstheme="minorHAnsi"/>
        </w:rPr>
        <w:t>vizitë</w:t>
      </w:r>
      <w:r w:rsidR="00BF68E4">
        <w:rPr>
          <w:rFonts w:asciiTheme="minorHAnsi" w:hAnsiTheme="minorHAnsi" w:cstheme="minorHAnsi"/>
        </w:rPr>
        <w:t xml:space="preserve"> kërkimore</w:t>
      </w:r>
      <w:r w:rsidR="009344BE" w:rsidRPr="00B827EE">
        <w:rPr>
          <w:rFonts w:asciiTheme="minorHAnsi" w:hAnsiTheme="minorHAnsi" w:cstheme="minorHAnsi"/>
        </w:rPr>
        <w:t>.</w:t>
      </w:r>
    </w:p>
    <w:p w:rsidR="00D019B1" w:rsidRPr="00B827EE" w:rsidRDefault="00D019B1" w:rsidP="00D64B76">
      <w:pPr>
        <w:rPr>
          <w:rFonts w:asciiTheme="minorHAnsi" w:hAnsiTheme="minorHAnsi" w:cstheme="minorHAnsi"/>
        </w:rPr>
      </w:pPr>
    </w:p>
    <w:p w:rsidR="00D019B1" w:rsidRPr="00B827EE" w:rsidRDefault="00D019B1" w:rsidP="00D64B76">
      <w:pPr>
        <w:rPr>
          <w:rFonts w:asciiTheme="minorHAnsi" w:hAnsiTheme="minorHAnsi" w:cstheme="minorHAnsi"/>
          <w:b/>
        </w:rPr>
      </w:pPr>
      <w:r w:rsidRPr="00B827EE">
        <w:rPr>
          <w:rFonts w:asciiTheme="minorHAnsi" w:hAnsiTheme="minorHAnsi" w:cstheme="minorHAnsi"/>
          <w:b/>
        </w:rPr>
        <w:t>Përjashtim</w:t>
      </w:r>
      <w:r w:rsidR="004872BC" w:rsidRPr="00B827EE">
        <w:rPr>
          <w:rFonts w:asciiTheme="minorHAnsi" w:hAnsiTheme="minorHAnsi" w:cstheme="minorHAnsi"/>
          <w:b/>
        </w:rPr>
        <w:t>et</w:t>
      </w:r>
      <w:r w:rsidR="008319B7" w:rsidRPr="00B827EE">
        <w:rPr>
          <w:rFonts w:asciiTheme="minorHAnsi" w:hAnsiTheme="minorHAnsi" w:cstheme="minorHAnsi"/>
          <w:b/>
        </w:rPr>
        <w:t xml:space="preserve"> nga këto rregulla mund jenë të </w:t>
      </w:r>
      <w:r w:rsidR="00BF68E4">
        <w:rPr>
          <w:rFonts w:asciiTheme="minorHAnsi" w:hAnsiTheme="minorHAnsi" w:cstheme="minorHAnsi"/>
          <w:b/>
        </w:rPr>
        <w:t>mund</w:t>
      </w:r>
      <w:r w:rsidRPr="00B827EE">
        <w:rPr>
          <w:rFonts w:asciiTheme="minorHAnsi" w:hAnsiTheme="minorHAnsi" w:cstheme="minorHAnsi"/>
          <w:b/>
        </w:rPr>
        <w:t>shme</w:t>
      </w:r>
      <w:r w:rsidR="008319B7" w:rsidRPr="00B827EE">
        <w:rPr>
          <w:rFonts w:asciiTheme="minorHAnsi" w:hAnsiTheme="minorHAnsi" w:cstheme="minorHAnsi"/>
          <w:b/>
        </w:rPr>
        <w:t xml:space="preserve"> vetëm nëse janë të parapara në marrëveshjen bilaterale.</w:t>
      </w:r>
    </w:p>
    <w:p w:rsidR="007C7DAA" w:rsidRPr="00B827EE" w:rsidRDefault="007C7DAA" w:rsidP="00D64B76">
      <w:pPr>
        <w:rPr>
          <w:rFonts w:asciiTheme="minorHAnsi" w:hAnsiTheme="minorHAnsi" w:cstheme="minorHAnsi"/>
          <w:b/>
        </w:rPr>
      </w:pPr>
    </w:p>
    <w:p w:rsidR="00B4536E" w:rsidRPr="00B827EE" w:rsidRDefault="0024304B" w:rsidP="00D64B76">
      <w:pPr>
        <w:rPr>
          <w:rFonts w:asciiTheme="minorHAnsi" w:hAnsiTheme="minorHAnsi" w:cstheme="minorHAnsi"/>
        </w:rPr>
      </w:pPr>
      <w:r w:rsidRPr="00B827EE">
        <w:rPr>
          <w:rFonts w:asciiTheme="minorHAnsi" w:hAnsiTheme="minorHAnsi" w:cstheme="minorHAnsi"/>
        </w:rPr>
        <w:t xml:space="preserve">Aplikantët për qëndrim studimor duhet të jenë </w:t>
      </w:r>
      <w:r w:rsidRPr="00B827EE">
        <w:rPr>
          <w:rFonts w:asciiTheme="minorHAnsi" w:hAnsiTheme="minorHAnsi" w:cstheme="minorHAnsi"/>
          <w:b/>
        </w:rPr>
        <w:t>kompetent në gjuhën sllovene</w:t>
      </w:r>
      <w:r w:rsidRPr="00B827EE">
        <w:rPr>
          <w:rFonts w:asciiTheme="minorHAnsi" w:hAnsiTheme="minorHAnsi" w:cstheme="minorHAnsi"/>
        </w:rPr>
        <w:t xml:space="preserve">, </w:t>
      </w:r>
      <w:r w:rsidR="00BF68E4">
        <w:rPr>
          <w:rFonts w:asciiTheme="minorHAnsi" w:hAnsiTheme="minorHAnsi" w:cstheme="minorHAnsi"/>
        </w:rPr>
        <w:t>për</w:t>
      </w:r>
      <w:r w:rsidRPr="00B827EE">
        <w:rPr>
          <w:rFonts w:asciiTheme="minorHAnsi" w:hAnsiTheme="minorHAnsi" w:cstheme="minorHAnsi"/>
        </w:rPr>
        <w:t xml:space="preserve">veç në </w:t>
      </w:r>
      <w:r w:rsidR="00BF68E4">
        <w:rPr>
          <w:rFonts w:asciiTheme="minorHAnsi" w:hAnsiTheme="minorHAnsi" w:cstheme="minorHAnsi"/>
        </w:rPr>
        <w:t xml:space="preserve">ato </w:t>
      </w:r>
      <w:r w:rsidRPr="00B827EE">
        <w:rPr>
          <w:rFonts w:asciiTheme="minorHAnsi" w:hAnsiTheme="minorHAnsi" w:cstheme="minorHAnsi"/>
        </w:rPr>
        <w:t>rast</w:t>
      </w:r>
      <w:r w:rsidR="00BF68E4">
        <w:rPr>
          <w:rFonts w:asciiTheme="minorHAnsi" w:hAnsiTheme="minorHAnsi" w:cstheme="minorHAnsi"/>
        </w:rPr>
        <w:t>e</w:t>
      </w:r>
      <w:r w:rsidRPr="00B827EE">
        <w:rPr>
          <w:rFonts w:asciiTheme="minorHAnsi" w:hAnsiTheme="minorHAnsi" w:cstheme="minorHAnsi"/>
        </w:rPr>
        <w:t xml:space="preserve"> kur</w:t>
      </w:r>
      <w:r w:rsidR="00BF68E4">
        <w:rPr>
          <w:rFonts w:asciiTheme="minorHAnsi" w:hAnsiTheme="minorHAnsi" w:cstheme="minorHAnsi"/>
        </w:rPr>
        <w:t xml:space="preserve"> është </w:t>
      </w:r>
      <w:r w:rsidRPr="00B827EE">
        <w:rPr>
          <w:rFonts w:asciiTheme="minorHAnsi" w:hAnsiTheme="minorHAnsi" w:cstheme="minorHAnsi"/>
        </w:rPr>
        <w:t xml:space="preserve">arritur marrëveshja </w:t>
      </w:r>
      <w:r w:rsidR="00BF68E4">
        <w:rPr>
          <w:rFonts w:asciiTheme="minorHAnsi" w:hAnsiTheme="minorHAnsi" w:cstheme="minorHAnsi"/>
        </w:rPr>
        <w:t xml:space="preserve">me mentorin </w:t>
      </w:r>
      <w:r w:rsidRPr="00B827EE">
        <w:rPr>
          <w:rFonts w:asciiTheme="minorHAnsi" w:hAnsiTheme="minorHAnsi" w:cstheme="minorHAnsi"/>
        </w:rPr>
        <w:t xml:space="preserve">për përdorimin e </w:t>
      </w:r>
      <w:r w:rsidRPr="00B827EE">
        <w:rPr>
          <w:rFonts w:asciiTheme="minorHAnsi" w:hAnsiTheme="minorHAnsi" w:cstheme="minorHAnsi"/>
          <w:b/>
        </w:rPr>
        <w:t>gjuhës së punës</w:t>
      </w:r>
      <w:r w:rsidRPr="00B827EE">
        <w:rPr>
          <w:rFonts w:asciiTheme="minorHAnsi" w:hAnsiTheme="minorHAnsi" w:cstheme="minorHAnsi"/>
        </w:rPr>
        <w:t>.</w:t>
      </w:r>
    </w:p>
    <w:p w:rsidR="00B4536E" w:rsidRPr="00B827EE" w:rsidRDefault="00B4536E" w:rsidP="00D64B76">
      <w:pPr>
        <w:rPr>
          <w:rFonts w:asciiTheme="minorHAnsi" w:hAnsiTheme="minorHAnsi" w:cstheme="minorHAnsi"/>
        </w:rPr>
      </w:pPr>
    </w:p>
    <w:p w:rsidR="007C7DAA" w:rsidRPr="00B827EE" w:rsidRDefault="00286F1C" w:rsidP="00D64B76">
      <w:pPr>
        <w:rPr>
          <w:rFonts w:asciiTheme="minorHAnsi" w:hAnsiTheme="minorHAnsi" w:cstheme="minorHAnsi"/>
        </w:rPr>
      </w:pPr>
      <w:r w:rsidRPr="00B827EE">
        <w:rPr>
          <w:rFonts w:asciiTheme="minorHAnsi" w:hAnsiTheme="minorHAnsi" w:cstheme="minorHAnsi"/>
        </w:rPr>
        <w:t>N</w:t>
      </w:r>
      <w:r w:rsidR="00BF68E4">
        <w:rPr>
          <w:rFonts w:asciiTheme="minorHAnsi" w:hAnsiTheme="minorHAnsi" w:cstheme="minorHAnsi"/>
        </w:rPr>
        <w:t>ë formularin për aplikim</w:t>
      </w:r>
      <w:r w:rsidR="00A96763" w:rsidRPr="00B827EE">
        <w:rPr>
          <w:rFonts w:asciiTheme="minorHAnsi" w:hAnsiTheme="minorHAnsi" w:cstheme="minorHAnsi"/>
        </w:rPr>
        <w:t xml:space="preserve"> </w:t>
      </w:r>
      <w:r w:rsidR="00CE1685">
        <w:rPr>
          <w:rFonts w:asciiTheme="minorHAnsi" w:hAnsiTheme="minorHAnsi" w:cstheme="minorHAnsi"/>
        </w:rPr>
        <w:t>të gjithë aplikantët</w:t>
      </w:r>
      <w:r w:rsidRPr="00B827EE">
        <w:rPr>
          <w:rFonts w:asciiTheme="minorHAnsi" w:hAnsiTheme="minorHAnsi" w:cstheme="minorHAnsi"/>
        </w:rPr>
        <w:t xml:space="preserve"> duhet të theksojnë </w:t>
      </w:r>
      <w:r w:rsidR="00A96763" w:rsidRPr="00B827EE">
        <w:rPr>
          <w:rFonts w:asciiTheme="minorHAnsi" w:hAnsiTheme="minorHAnsi" w:cstheme="minorHAnsi"/>
        </w:rPr>
        <w:t xml:space="preserve">periudhën e preferuar të bursës. </w:t>
      </w:r>
      <w:r w:rsidR="00943536" w:rsidRPr="00B827EE">
        <w:rPr>
          <w:rFonts w:asciiTheme="minorHAnsi" w:hAnsiTheme="minorHAnsi" w:cstheme="minorHAnsi"/>
        </w:rPr>
        <w:t xml:space="preserve">Ministria posedon </w:t>
      </w:r>
      <w:r w:rsidR="00D41AC2" w:rsidRPr="00B827EE">
        <w:rPr>
          <w:rFonts w:asciiTheme="minorHAnsi" w:hAnsiTheme="minorHAnsi" w:cstheme="minorHAnsi"/>
        </w:rPr>
        <w:t>t</w:t>
      </w:r>
      <w:r w:rsidR="00943536" w:rsidRPr="00B827EE">
        <w:rPr>
          <w:rFonts w:asciiTheme="minorHAnsi" w:hAnsiTheme="minorHAnsi" w:cstheme="minorHAnsi"/>
        </w:rPr>
        <w:t xml:space="preserve">ë </w:t>
      </w:r>
      <w:r w:rsidR="004872BC" w:rsidRPr="00B827EE">
        <w:rPr>
          <w:rFonts w:asciiTheme="minorHAnsi" w:hAnsiTheme="minorHAnsi" w:cstheme="minorHAnsi"/>
        </w:rPr>
        <w:t>drejtën për të ndryshuar periudhën</w:t>
      </w:r>
      <w:r w:rsidR="00943536" w:rsidRPr="00B827EE">
        <w:rPr>
          <w:rFonts w:asciiTheme="minorHAnsi" w:hAnsiTheme="minorHAnsi" w:cstheme="minorHAnsi"/>
        </w:rPr>
        <w:t xml:space="preserve"> e bursës dhe/ose vendin e aplikuesit dhe/ose institucionin e a</w:t>
      </w:r>
      <w:r w:rsidR="004872BC" w:rsidRPr="00B827EE">
        <w:rPr>
          <w:rFonts w:asciiTheme="minorHAnsi" w:hAnsiTheme="minorHAnsi" w:cstheme="minorHAnsi"/>
        </w:rPr>
        <w:t>rsimit të lartë ndryshe nga ai i</w:t>
      </w:r>
      <w:r w:rsidR="00943536" w:rsidRPr="00B827EE">
        <w:rPr>
          <w:rFonts w:asciiTheme="minorHAnsi" w:hAnsiTheme="minorHAnsi" w:cstheme="minorHAnsi"/>
        </w:rPr>
        <w:t xml:space="preserve"> pa</w:t>
      </w:r>
      <w:r w:rsidR="004872BC" w:rsidRPr="00B827EE">
        <w:rPr>
          <w:rFonts w:asciiTheme="minorHAnsi" w:hAnsiTheme="minorHAnsi" w:cstheme="minorHAnsi"/>
        </w:rPr>
        <w:t>raqitur në formularin e aplikimi</w:t>
      </w:r>
      <w:r w:rsidR="00943536" w:rsidRPr="00B827EE">
        <w:rPr>
          <w:rFonts w:asciiTheme="minorHAnsi" w:hAnsiTheme="minorHAnsi" w:cstheme="minorHAnsi"/>
        </w:rPr>
        <w:t xml:space="preserve">t të tij/saj për bursë, nëse </w:t>
      </w:r>
      <w:r w:rsidR="004872BC" w:rsidRPr="00B827EE">
        <w:rPr>
          <w:rFonts w:asciiTheme="minorHAnsi" w:hAnsiTheme="minorHAnsi" w:cstheme="minorHAnsi"/>
        </w:rPr>
        <w:t xml:space="preserve">pranimi i kërkuar </w:t>
      </w:r>
      <w:r w:rsidR="00943536" w:rsidRPr="00B827EE">
        <w:rPr>
          <w:rFonts w:asciiTheme="minorHAnsi" w:hAnsiTheme="minorHAnsi" w:cstheme="minorHAnsi"/>
        </w:rPr>
        <w:t xml:space="preserve">nga aplikuesi nuk është i realizueshëm. </w:t>
      </w:r>
      <w:r w:rsidR="0024304B" w:rsidRPr="00B827EE">
        <w:rPr>
          <w:rFonts w:asciiTheme="minorHAnsi" w:hAnsiTheme="minorHAnsi" w:cstheme="minorHAnsi"/>
        </w:rPr>
        <w:t xml:space="preserve">    </w:t>
      </w:r>
    </w:p>
    <w:p w:rsidR="00660C11" w:rsidRPr="00B827EE" w:rsidRDefault="009344BE" w:rsidP="00D64B76">
      <w:pPr>
        <w:rPr>
          <w:rFonts w:asciiTheme="minorHAnsi" w:hAnsiTheme="minorHAnsi" w:cstheme="minorHAnsi"/>
        </w:rPr>
      </w:pPr>
      <w:r w:rsidRPr="00B827EE">
        <w:rPr>
          <w:rFonts w:asciiTheme="minorHAnsi" w:hAnsiTheme="minorHAnsi" w:cstheme="minorHAnsi"/>
        </w:rPr>
        <w:t xml:space="preserve">   </w:t>
      </w:r>
      <w:r w:rsidR="00213029" w:rsidRPr="00B827EE">
        <w:rPr>
          <w:rFonts w:asciiTheme="minorHAnsi" w:hAnsiTheme="minorHAnsi" w:cstheme="minorHAnsi"/>
        </w:rPr>
        <w:t xml:space="preserve"> </w:t>
      </w:r>
      <w:r w:rsidR="003F0440" w:rsidRPr="00B827EE">
        <w:rPr>
          <w:rFonts w:asciiTheme="minorHAnsi" w:hAnsiTheme="minorHAnsi" w:cstheme="minorHAnsi"/>
        </w:rPr>
        <w:t xml:space="preserve"> </w:t>
      </w:r>
      <w:r w:rsidR="00C71938" w:rsidRPr="00B827EE">
        <w:rPr>
          <w:rFonts w:asciiTheme="minorHAnsi" w:hAnsiTheme="minorHAnsi" w:cstheme="minorHAnsi"/>
        </w:rPr>
        <w:t xml:space="preserve"> </w:t>
      </w:r>
      <w:r w:rsidR="0094605B" w:rsidRPr="00B827EE">
        <w:rPr>
          <w:rFonts w:asciiTheme="minorHAnsi" w:hAnsiTheme="minorHAnsi" w:cstheme="minorHAnsi"/>
        </w:rPr>
        <w:t xml:space="preserve">   </w:t>
      </w:r>
      <w:r w:rsidR="006C6317" w:rsidRPr="00B827EE">
        <w:rPr>
          <w:rFonts w:asciiTheme="minorHAnsi" w:hAnsiTheme="minorHAnsi" w:cstheme="minorHAnsi"/>
        </w:rPr>
        <w:t xml:space="preserve"> </w:t>
      </w:r>
      <w:r w:rsidR="004C4813" w:rsidRPr="00B827EE">
        <w:rPr>
          <w:rFonts w:asciiTheme="minorHAnsi" w:hAnsiTheme="minorHAnsi" w:cstheme="minorHAnsi"/>
        </w:rPr>
        <w:t xml:space="preserve"> </w:t>
      </w:r>
      <w:r w:rsidR="00C841DD" w:rsidRPr="00B827EE">
        <w:rPr>
          <w:rFonts w:asciiTheme="minorHAnsi" w:hAnsiTheme="minorHAnsi" w:cstheme="minorHAnsi"/>
        </w:rPr>
        <w:t xml:space="preserve">  </w:t>
      </w:r>
      <w:r w:rsidR="00320681" w:rsidRPr="00B827EE">
        <w:rPr>
          <w:rFonts w:asciiTheme="minorHAnsi" w:hAnsiTheme="minorHAnsi" w:cstheme="minorHAnsi"/>
        </w:rPr>
        <w:t xml:space="preserve"> </w:t>
      </w:r>
    </w:p>
    <w:p w:rsidR="00660C11" w:rsidRPr="00B827EE" w:rsidRDefault="00660C11" w:rsidP="00D64B76">
      <w:pPr>
        <w:rPr>
          <w:rFonts w:asciiTheme="minorHAnsi" w:hAnsiTheme="minorHAnsi" w:cstheme="minorHAnsi"/>
        </w:rPr>
      </w:pPr>
    </w:p>
    <w:p w:rsidR="00660C11" w:rsidRPr="00B827EE" w:rsidRDefault="00660C11" w:rsidP="00D64B76">
      <w:pPr>
        <w:rPr>
          <w:rFonts w:asciiTheme="minorHAnsi" w:hAnsiTheme="minorHAnsi" w:cstheme="minorHAnsi"/>
        </w:rPr>
      </w:pPr>
    </w:p>
    <w:p w:rsidR="00660C11" w:rsidRPr="00B827EE" w:rsidRDefault="00660C11" w:rsidP="00D64B76">
      <w:pPr>
        <w:rPr>
          <w:rFonts w:asciiTheme="minorHAnsi" w:hAnsiTheme="minorHAnsi" w:cstheme="minorHAnsi"/>
        </w:rPr>
      </w:pPr>
    </w:p>
    <w:p w:rsidR="00660C11" w:rsidRPr="00B827EE" w:rsidRDefault="00660C11" w:rsidP="00D64B76">
      <w:pPr>
        <w:rPr>
          <w:rFonts w:asciiTheme="minorHAnsi" w:hAnsiTheme="minorHAnsi" w:cstheme="minorHAnsi"/>
        </w:rPr>
      </w:pPr>
    </w:p>
    <w:p w:rsidR="00660C11" w:rsidRPr="00B827EE" w:rsidRDefault="00660C11" w:rsidP="00D64B76">
      <w:pPr>
        <w:rPr>
          <w:rFonts w:asciiTheme="minorHAnsi" w:hAnsiTheme="minorHAnsi" w:cstheme="minorHAnsi"/>
        </w:rPr>
      </w:pPr>
    </w:p>
    <w:p w:rsidR="00660C11" w:rsidRPr="00B827EE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B827EE">
        <w:rPr>
          <w:rFonts w:asciiTheme="minorHAnsi" w:hAnsiTheme="minorHAnsi" w:cstheme="minorHAnsi"/>
          <w:b/>
          <w:color w:val="212121"/>
          <w:sz w:val="22"/>
          <w:szCs w:val="22"/>
        </w:rPr>
        <w:lastRenderedPageBreak/>
        <w:t>P</w:t>
      </w:r>
      <w:r w:rsidR="00813F45" w:rsidRPr="00B827EE">
        <w:rPr>
          <w:rFonts w:asciiTheme="minorHAnsi" w:hAnsiTheme="minorHAnsi" w:cstheme="minorHAnsi"/>
          <w:b/>
          <w:color w:val="212121"/>
          <w:sz w:val="22"/>
          <w:szCs w:val="22"/>
        </w:rPr>
        <w:t>ROCEDURAT E APLIKIMIT</w:t>
      </w:r>
    </w:p>
    <w:p w:rsidR="00813F45" w:rsidRPr="00B827EE" w:rsidRDefault="00813F45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</w:p>
    <w:p w:rsidR="00660C11" w:rsidRPr="00B827EE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B827EE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Zbatimi </w:t>
      </w:r>
      <w:r w:rsidR="00813F45" w:rsidRPr="00B827EE">
        <w:rPr>
          <w:rFonts w:asciiTheme="minorHAnsi" w:hAnsiTheme="minorHAnsi" w:cstheme="minorHAnsi"/>
          <w:b/>
          <w:color w:val="212121"/>
          <w:sz w:val="22"/>
          <w:szCs w:val="22"/>
        </w:rPr>
        <w:t>i këtij programi të bursave në R</w:t>
      </w:r>
      <w:r w:rsidRPr="00B827EE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epublikën e Sllovenisë është caktuar në agjencinë kombëtare: CMEPIUS - Qendra e Republikës së Sllovenisë për Mobilitetin dhe Programet Evropiane të Arsimit dhe Trajnimit - </w:t>
      </w:r>
      <w:hyperlink r:id="rId6" w:history="1">
        <w:r w:rsidRPr="00B827EE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Http://eng.cmepius.si/</w:t>
        </w:r>
      </w:hyperlink>
    </w:p>
    <w:p w:rsidR="00660C11" w:rsidRPr="00B827EE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b/>
          <w:color w:val="212121"/>
          <w:sz w:val="22"/>
          <w:szCs w:val="22"/>
        </w:rPr>
      </w:pPr>
    </w:p>
    <w:p w:rsidR="00660C11" w:rsidRPr="00B827EE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B827EE">
        <w:rPr>
          <w:rFonts w:asciiTheme="minorHAnsi" w:hAnsiTheme="minorHAnsi" w:cstheme="minorHAnsi"/>
          <w:b/>
          <w:color w:val="212121"/>
          <w:sz w:val="22"/>
          <w:szCs w:val="22"/>
        </w:rPr>
        <w:t>Emërimet (lista kryesore dhe rezervë) dhe dosjet e aplikimit të aplikantëve duhet të dorëzohen në CMEPIUS nga autoritetet përbërëse (zakonisht ministritë e respektuar</w:t>
      </w:r>
      <w:r w:rsidR="002C5580">
        <w:rPr>
          <w:rFonts w:asciiTheme="minorHAnsi" w:hAnsiTheme="minorHAnsi" w:cstheme="minorHAnsi"/>
          <w:b/>
          <w:color w:val="212121"/>
          <w:sz w:val="22"/>
          <w:szCs w:val="22"/>
        </w:rPr>
        <w:t>a</w:t>
      </w:r>
      <w:r w:rsidRPr="00B827EE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 të Arsimit, agjencitë qeveritare) të vendeve të pranueshme.</w:t>
      </w:r>
    </w:p>
    <w:p w:rsidR="009909DF" w:rsidRPr="00B827EE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  <w:r w:rsidRPr="00B827EE">
        <w:rPr>
          <w:rFonts w:asciiTheme="minorHAnsi" w:hAnsiTheme="minorHAnsi" w:cstheme="minorHAnsi"/>
          <w:color w:val="212121"/>
          <w:sz w:val="22"/>
          <w:szCs w:val="22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09DF" w:rsidRPr="00B827EE" w:rsidTr="009909DF">
        <w:tc>
          <w:tcPr>
            <w:tcW w:w="9350" w:type="dxa"/>
          </w:tcPr>
          <w:p w:rsidR="009909DF" w:rsidRPr="00B827EE" w:rsidRDefault="009909DF" w:rsidP="009909DF">
            <w:pPr>
              <w:pStyle w:val="HTMLPreformatted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  <w:p w:rsidR="009909DF" w:rsidRPr="00B827EE" w:rsidRDefault="009909DF" w:rsidP="009909DF">
            <w:pPr>
              <w:pStyle w:val="HTMLPreformatted"/>
              <w:jc w:val="center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 w:rsidRPr="00B827EE"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CMEPIUS</w:t>
            </w:r>
          </w:p>
          <w:p w:rsidR="009909DF" w:rsidRPr="00B827EE" w:rsidRDefault="009909DF" w:rsidP="009909DF">
            <w:pPr>
              <w:pStyle w:val="HTMLPreformatted"/>
              <w:jc w:val="center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 w:rsidRPr="00B827EE"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Bilateral scholarships</w:t>
            </w:r>
          </w:p>
          <w:p w:rsidR="009909DF" w:rsidRPr="00B827EE" w:rsidRDefault="009909DF" w:rsidP="009909DF">
            <w:pPr>
              <w:pStyle w:val="HTMLPreformatted"/>
              <w:jc w:val="center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 w:rsidRPr="00B827EE"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Ob železnici 30a</w:t>
            </w:r>
          </w:p>
          <w:p w:rsidR="009909DF" w:rsidRPr="00B827EE" w:rsidRDefault="009909DF" w:rsidP="009909DF">
            <w:pPr>
              <w:pStyle w:val="HTMLPreformatted"/>
              <w:jc w:val="center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 w:rsidRPr="00B827EE"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SI – 1000 Ljubljana</w:t>
            </w:r>
          </w:p>
          <w:p w:rsidR="009909DF" w:rsidRPr="00B827EE" w:rsidRDefault="009909DF" w:rsidP="00660C11">
            <w:pPr>
              <w:pStyle w:val="HTMLPreformatted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  <w:p w:rsidR="009909DF" w:rsidRPr="00B827EE" w:rsidRDefault="009909DF" w:rsidP="00660C11">
            <w:pPr>
              <w:pStyle w:val="HTMLPreformatted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</w:tr>
    </w:tbl>
    <w:p w:rsidR="00660C11" w:rsidRPr="00B827EE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</w:p>
    <w:p w:rsidR="00660C11" w:rsidRPr="00B827EE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B827EE">
        <w:rPr>
          <w:rFonts w:asciiTheme="minorHAnsi" w:hAnsiTheme="minorHAnsi" w:cstheme="minorHAnsi"/>
          <w:b/>
          <w:color w:val="212121"/>
          <w:sz w:val="22"/>
          <w:szCs w:val="22"/>
        </w:rPr>
        <w:t>Aplikacionet që dërgohen nga aplikantët individualisht në CMPEIUS nuk do të procedohen.</w:t>
      </w:r>
    </w:p>
    <w:p w:rsidR="00660C11" w:rsidRPr="00B827EE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</w:p>
    <w:p w:rsidR="00660C11" w:rsidRPr="00B827EE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  <w:r w:rsidRPr="00B827EE">
        <w:rPr>
          <w:rFonts w:asciiTheme="minorHAnsi" w:hAnsiTheme="minorHAnsi" w:cstheme="minorHAnsi"/>
          <w:color w:val="212121"/>
          <w:sz w:val="22"/>
          <w:szCs w:val="22"/>
        </w:rPr>
        <w:t xml:space="preserve">Autoritetet kompetente paraqesin propozimet para afateve të përcaktuara në marrëveshjet përkatëse, në rastet jo më vonë deri më </w:t>
      </w:r>
      <w:r w:rsidR="000E41AA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13 Maj </w:t>
      </w:r>
      <w:r w:rsidRPr="00B827EE">
        <w:rPr>
          <w:rFonts w:asciiTheme="minorHAnsi" w:hAnsiTheme="minorHAnsi" w:cstheme="minorHAnsi"/>
          <w:b/>
          <w:color w:val="212121"/>
          <w:sz w:val="22"/>
          <w:szCs w:val="22"/>
        </w:rPr>
        <w:t>2019.</w:t>
      </w:r>
      <w:r w:rsidRPr="00B827EE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:rsidR="00660C11" w:rsidRPr="00B827EE" w:rsidRDefault="002C5580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  <w:r w:rsidRPr="000E41AA">
        <w:rPr>
          <w:rFonts w:asciiTheme="minorHAnsi" w:hAnsiTheme="minorHAnsi" w:cstheme="minorHAnsi"/>
          <w:color w:val="212121"/>
          <w:sz w:val="22"/>
          <w:szCs w:val="22"/>
        </w:rPr>
        <w:t xml:space="preserve">Datat e mbylljes për aplikime, </w:t>
      </w:r>
      <w:r w:rsidR="003D08C2" w:rsidRPr="000E41AA">
        <w:rPr>
          <w:rFonts w:asciiTheme="minorHAnsi" w:hAnsiTheme="minorHAnsi" w:cstheme="minorHAnsi"/>
          <w:color w:val="212121"/>
          <w:sz w:val="22"/>
          <w:szCs w:val="22"/>
        </w:rPr>
        <w:t>të përcaktuar</w:t>
      </w:r>
      <w:r w:rsidR="000E41AA" w:rsidRPr="000E41AA">
        <w:rPr>
          <w:rFonts w:asciiTheme="minorHAnsi" w:hAnsiTheme="minorHAnsi" w:cstheme="minorHAnsi"/>
          <w:color w:val="212121"/>
          <w:sz w:val="22"/>
          <w:szCs w:val="22"/>
        </w:rPr>
        <w:t>a nga autoritetet e kompetente</w:t>
      </w:r>
      <w:r w:rsidR="003D08C2" w:rsidRPr="000E41AA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Pr="000E41AA">
        <w:rPr>
          <w:rFonts w:asciiTheme="minorHAnsi" w:hAnsiTheme="minorHAnsi" w:cstheme="minorHAnsi"/>
          <w:color w:val="212121"/>
          <w:sz w:val="22"/>
          <w:szCs w:val="22"/>
        </w:rPr>
        <w:t>medoemos</w:t>
      </w:r>
      <w:r w:rsidR="00660C11" w:rsidRPr="000E41AA">
        <w:rPr>
          <w:rFonts w:asciiTheme="minorHAnsi" w:hAnsiTheme="minorHAnsi" w:cstheme="minorHAnsi"/>
          <w:color w:val="212121"/>
          <w:sz w:val="22"/>
          <w:szCs w:val="22"/>
        </w:rPr>
        <w:t xml:space="preserve"> janë </w:t>
      </w:r>
      <w:r w:rsidR="000E41AA" w:rsidRPr="000E41AA">
        <w:rPr>
          <w:rFonts w:asciiTheme="minorHAnsi" w:hAnsiTheme="minorHAnsi" w:cstheme="minorHAnsi"/>
          <w:color w:val="212121"/>
          <w:sz w:val="22"/>
          <w:szCs w:val="22"/>
        </w:rPr>
        <w:t>t</w:t>
      </w:r>
      <w:r w:rsidR="003D08C2" w:rsidRPr="000E41AA">
        <w:rPr>
          <w:rFonts w:asciiTheme="minorHAnsi" w:hAnsiTheme="minorHAnsi" w:cstheme="minorHAnsi"/>
          <w:color w:val="212121"/>
          <w:sz w:val="22"/>
          <w:szCs w:val="22"/>
        </w:rPr>
        <w:t xml:space="preserve">ë </w:t>
      </w:r>
      <w:r w:rsidR="000E41AA" w:rsidRPr="000E41AA">
        <w:rPr>
          <w:rFonts w:asciiTheme="minorHAnsi" w:hAnsiTheme="minorHAnsi" w:cstheme="minorHAnsi"/>
          <w:color w:val="212121"/>
          <w:sz w:val="22"/>
          <w:szCs w:val="22"/>
        </w:rPr>
        <w:t>përcaktuara më herët,(</w:t>
      </w:r>
      <w:r w:rsidR="00660C11" w:rsidRPr="000E41AA">
        <w:rPr>
          <w:rFonts w:asciiTheme="minorHAnsi" w:hAnsiTheme="minorHAnsi" w:cstheme="minorHAnsi"/>
          <w:color w:val="212121"/>
          <w:sz w:val="22"/>
          <w:szCs w:val="22"/>
        </w:rPr>
        <w:t>zakonisht p</w:t>
      </w:r>
      <w:r w:rsidR="003D08C2" w:rsidRPr="000E41AA">
        <w:rPr>
          <w:rFonts w:asciiTheme="minorHAnsi" w:hAnsiTheme="minorHAnsi" w:cstheme="minorHAnsi"/>
          <w:color w:val="212121"/>
          <w:sz w:val="22"/>
          <w:szCs w:val="22"/>
        </w:rPr>
        <w:t>ër disa mua</w:t>
      </w:r>
      <w:r w:rsidR="000E41AA" w:rsidRPr="000E41AA">
        <w:rPr>
          <w:rFonts w:asciiTheme="minorHAnsi" w:hAnsiTheme="minorHAnsi" w:cstheme="minorHAnsi"/>
          <w:color w:val="212121"/>
          <w:sz w:val="22"/>
          <w:szCs w:val="22"/>
        </w:rPr>
        <w:t>)</w:t>
      </w:r>
      <w:r w:rsidR="00660C11" w:rsidRPr="000E41AA">
        <w:rPr>
          <w:rFonts w:asciiTheme="minorHAnsi" w:hAnsiTheme="minorHAnsi" w:cstheme="minorHAnsi"/>
          <w:color w:val="212121"/>
          <w:sz w:val="22"/>
          <w:szCs w:val="22"/>
        </w:rPr>
        <w:t>. Për këtë arsye, aplikantët e ardhshëm</w:t>
      </w:r>
      <w:r w:rsidR="00660C11" w:rsidRPr="00B827EE">
        <w:rPr>
          <w:rFonts w:asciiTheme="minorHAnsi" w:hAnsiTheme="minorHAnsi" w:cstheme="minorHAnsi"/>
          <w:color w:val="212121"/>
          <w:sz w:val="22"/>
          <w:szCs w:val="22"/>
        </w:rPr>
        <w:t xml:space="preserve"> duhet të kontaktojnë me kohë autoritetet përkatëse kompetente.</w:t>
      </w:r>
    </w:p>
    <w:p w:rsidR="0060378A" w:rsidRPr="00B827EE" w:rsidRDefault="0060378A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</w:p>
    <w:p w:rsidR="00660C11" w:rsidRPr="007D7EE1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  <w:r w:rsidRPr="00B827EE">
        <w:rPr>
          <w:rFonts w:asciiTheme="minorHAnsi" w:hAnsiTheme="minorHAnsi" w:cstheme="minorHAnsi"/>
          <w:color w:val="212121"/>
          <w:sz w:val="22"/>
          <w:szCs w:val="22"/>
        </w:rPr>
        <w:t xml:space="preserve">Çdo </w:t>
      </w:r>
      <w:r w:rsidRPr="00B827EE">
        <w:rPr>
          <w:rFonts w:asciiTheme="minorHAnsi" w:hAnsiTheme="minorHAnsi" w:cstheme="minorHAnsi"/>
          <w:b/>
          <w:color w:val="212121"/>
          <w:sz w:val="22"/>
          <w:szCs w:val="22"/>
        </w:rPr>
        <w:t>dosje e</w:t>
      </w:r>
      <w:r w:rsidR="0060378A" w:rsidRPr="00B827EE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 aplikimit duhet të përmbajë</w:t>
      </w:r>
      <w:r w:rsidRPr="00B827EE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 një </w:t>
      </w:r>
      <w:r w:rsidR="003D08C2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kopje të </w:t>
      </w:r>
      <w:r w:rsidR="003D08C2" w:rsidRPr="003D08C2">
        <w:rPr>
          <w:rFonts w:asciiTheme="minorHAnsi" w:hAnsiTheme="minorHAnsi" w:cstheme="minorHAnsi"/>
          <w:b/>
          <w:color w:val="212121"/>
          <w:sz w:val="22"/>
          <w:szCs w:val="22"/>
          <w:u w:val="single"/>
        </w:rPr>
        <w:t>Formularit të Aplikimit</w:t>
      </w:r>
      <w:r w:rsidRPr="00B827EE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 dhe </w:t>
      </w:r>
      <w:r w:rsidR="003D08C2" w:rsidRPr="003D08C2">
        <w:rPr>
          <w:rFonts w:asciiTheme="minorHAnsi" w:hAnsiTheme="minorHAnsi" w:cstheme="minorHAnsi"/>
          <w:b/>
          <w:color w:val="212121"/>
          <w:sz w:val="22"/>
          <w:szCs w:val="22"/>
          <w:u w:val="single"/>
        </w:rPr>
        <w:t>Letrës së Pranimit</w:t>
      </w:r>
      <w:r w:rsidR="003800E5">
        <w:rPr>
          <w:rFonts w:asciiTheme="minorHAnsi" w:hAnsiTheme="minorHAnsi" w:cstheme="minorHAnsi"/>
          <w:b/>
          <w:color w:val="212121"/>
          <w:sz w:val="22"/>
          <w:szCs w:val="22"/>
          <w:u w:val="single"/>
        </w:rPr>
        <w:t>,</w:t>
      </w:r>
      <w:r w:rsidR="003D08C2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* </w:t>
      </w:r>
      <w:r w:rsidRPr="00B827EE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 </w:t>
      </w:r>
      <w:r w:rsidR="003D08C2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të cilat duhet të jenë të plotësuara qartë dhe </w:t>
      </w:r>
      <w:r w:rsidR="003800E5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jenë </w:t>
      </w:r>
      <w:r w:rsidR="003D08C2">
        <w:rPr>
          <w:rFonts w:asciiTheme="minorHAnsi" w:hAnsiTheme="minorHAnsi" w:cstheme="minorHAnsi"/>
          <w:b/>
          <w:color w:val="212121"/>
          <w:sz w:val="22"/>
          <w:szCs w:val="22"/>
        </w:rPr>
        <w:t>të lexueshme</w:t>
      </w:r>
      <w:r w:rsidR="007D7EE1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. </w:t>
      </w:r>
      <w:r w:rsidR="007D7EE1" w:rsidRPr="007D7EE1">
        <w:rPr>
          <w:rFonts w:asciiTheme="minorHAnsi" w:hAnsiTheme="minorHAnsi" w:cstheme="minorHAnsi"/>
          <w:color w:val="212121"/>
          <w:sz w:val="22"/>
          <w:szCs w:val="22"/>
        </w:rPr>
        <w:t xml:space="preserve">Gjithashtu, </w:t>
      </w:r>
      <w:r w:rsidR="007D7EE1">
        <w:rPr>
          <w:rFonts w:asciiTheme="minorHAnsi" w:hAnsiTheme="minorHAnsi" w:cstheme="minorHAnsi"/>
          <w:color w:val="212121"/>
          <w:sz w:val="22"/>
          <w:szCs w:val="22"/>
        </w:rPr>
        <w:t>të dorëzohen në dy kopje shtojca</w:t>
      </w:r>
      <w:r w:rsidRPr="007D7EE1">
        <w:rPr>
          <w:rFonts w:asciiTheme="minorHAnsi" w:hAnsiTheme="minorHAnsi" w:cstheme="minorHAnsi"/>
          <w:color w:val="212121"/>
          <w:sz w:val="22"/>
          <w:szCs w:val="22"/>
        </w:rPr>
        <w:t>t e mëposhtme</w:t>
      </w:r>
      <w:r w:rsidR="007D7EE1">
        <w:rPr>
          <w:rFonts w:asciiTheme="minorHAnsi" w:hAnsiTheme="minorHAnsi" w:cstheme="minorHAnsi"/>
          <w:color w:val="212121"/>
          <w:sz w:val="22"/>
          <w:szCs w:val="22"/>
        </w:rPr>
        <w:t>:</w:t>
      </w:r>
      <w:r w:rsidR="00FA671D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:rsidR="00660C11" w:rsidRPr="00B827EE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</w:p>
    <w:p w:rsidR="00660C11" w:rsidRPr="00B827EE" w:rsidRDefault="00660C11" w:rsidP="003621F1">
      <w:pPr>
        <w:pStyle w:val="HTMLPreformatted"/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  <w:r w:rsidRPr="00B827EE">
        <w:rPr>
          <w:rFonts w:asciiTheme="minorHAnsi" w:hAnsiTheme="minorHAnsi" w:cstheme="minorHAnsi"/>
          <w:color w:val="212121"/>
          <w:sz w:val="22"/>
          <w:szCs w:val="22"/>
        </w:rPr>
        <w:t>Një fotokopje e letërnjoftimit ose pasaportës (faqe me fotografinë)</w:t>
      </w:r>
    </w:p>
    <w:p w:rsidR="00660C11" w:rsidRPr="00B827EE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</w:p>
    <w:p w:rsidR="00660C11" w:rsidRPr="00B827EE" w:rsidRDefault="00660C11" w:rsidP="003621F1">
      <w:pPr>
        <w:pStyle w:val="HTMLPreformatted"/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  <w:r w:rsidRPr="00B827EE">
        <w:rPr>
          <w:rFonts w:asciiTheme="minorHAnsi" w:hAnsiTheme="minorHAnsi" w:cstheme="minorHAnsi"/>
          <w:color w:val="212121"/>
          <w:sz w:val="22"/>
          <w:szCs w:val="22"/>
        </w:rPr>
        <w:t>Një letër rekomandimi për qëndrimet e studimit dhe dy letra të rekomanduara për qëndrim nga institucioni</w:t>
      </w:r>
      <w:r w:rsidR="003800E5">
        <w:rPr>
          <w:rFonts w:asciiTheme="minorHAnsi" w:hAnsiTheme="minorHAnsi" w:cstheme="minorHAnsi"/>
          <w:color w:val="212121"/>
          <w:sz w:val="22"/>
          <w:szCs w:val="22"/>
        </w:rPr>
        <w:t xml:space="preserve"> i vendlindjes së</w:t>
      </w:r>
      <w:r w:rsidRPr="00B827EE">
        <w:rPr>
          <w:rFonts w:asciiTheme="minorHAnsi" w:hAnsiTheme="minorHAnsi" w:cstheme="minorHAnsi"/>
          <w:color w:val="212121"/>
          <w:sz w:val="22"/>
          <w:szCs w:val="22"/>
        </w:rPr>
        <w:t xml:space="preserve"> aplikantëve.</w:t>
      </w:r>
    </w:p>
    <w:p w:rsidR="00660C11" w:rsidRPr="00B827EE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</w:p>
    <w:p w:rsidR="00660C11" w:rsidRPr="00B827EE" w:rsidRDefault="00660C11" w:rsidP="003621F1">
      <w:pPr>
        <w:pStyle w:val="HTMLPreformatted"/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  <w:r w:rsidRPr="00B827EE">
        <w:rPr>
          <w:rFonts w:asciiTheme="minorHAnsi" w:hAnsiTheme="minorHAnsi" w:cstheme="minorHAnsi"/>
          <w:color w:val="212121"/>
          <w:sz w:val="22"/>
          <w:szCs w:val="22"/>
        </w:rPr>
        <w:t>Fotokopje e diplomës dhe / ose transkripteve të certifikuara të procesverbalit.</w:t>
      </w:r>
    </w:p>
    <w:p w:rsidR="00660C11" w:rsidRPr="00B827EE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</w:p>
    <w:p w:rsidR="00660C11" w:rsidRPr="00B827EE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  <w:r w:rsidRPr="00B827EE">
        <w:rPr>
          <w:rFonts w:asciiTheme="minorHAnsi" w:hAnsiTheme="minorHAnsi" w:cstheme="minorHAnsi"/>
          <w:color w:val="212121"/>
          <w:sz w:val="22"/>
          <w:szCs w:val="22"/>
        </w:rPr>
        <w:t>Të gjitha dokumentet duhet të shkruhen ose të përkthehen në gjuhën sllovene ose angleze.</w:t>
      </w:r>
    </w:p>
    <w:p w:rsidR="00660C11" w:rsidRPr="00B827EE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</w:p>
    <w:p w:rsidR="00660C11" w:rsidRPr="00B827EE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  <w:r w:rsidRPr="00B827EE">
        <w:rPr>
          <w:rFonts w:asciiTheme="minorHAnsi" w:hAnsiTheme="minorHAnsi" w:cstheme="minorHAnsi"/>
          <w:color w:val="212121"/>
          <w:sz w:val="22"/>
          <w:szCs w:val="22"/>
        </w:rPr>
        <w:t>Dosjet e aplikimit të pa kompletuara dhe formularët e aplikimit të papërfunduar nuk do të procedohen.</w:t>
      </w:r>
    </w:p>
    <w:p w:rsidR="00660C11" w:rsidRPr="00B827EE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</w:p>
    <w:p w:rsidR="00660C11" w:rsidRDefault="00660C11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  <w:r w:rsidRPr="00B827EE">
        <w:rPr>
          <w:rFonts w:asciiTheme="minorHAnsi" w:hAnsiTheme="minorHAnsi" w:cstheme="minorHAnsi"/>
          <w:color w:val="212121"/>
          <w:sz w:val="22"/>
          <w:szCs w:val="22"/>
        </w:rPr>
        <w:t>Këshilla dhe informacione të mëtejshme mund të sigurohen nga CMEPIU duke përdorur e-mail: Scholarship@cmepiu.si dhe nga ambasadat sllovene në vendet e pranueshme.</w:t>
      </w:r>
    </w:p>
    <w:p w:rsidR="00BE1669" w:rsidRDefault="00BE1669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</w:p>
    <w:p w:rsidR="003800E5" w:rsidRDefault="003800E5" w:rsidP="00660C11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00E5" w:rsidTr="003800E5">
        <w:tc>
          <w:tcPr>
            <w:tcW w:w="9350" w:type="dxa"/>
          </w:tcPr>
          <w:p w:rsidR="003800E5" w:rsidRPr="00BE1669" w:rsidRDefault="00BE1669" w:rsidP="00BE1669">
            <w:pPr>
              <w:pStyle w:val="HTMLPreformatted"/>
              <w:rPr>
                <w:rFonts w:asciiTheme="minorHAnsi" w:hAnsiTheme="minorHAnsi" w:cstheme="minorHAnsi"/>
                <w:color w:val="212121"/>
                <w:sz w:val="16"/>
                <w:szCs w:val="16"/>
              </w:rPr>
            </w:pPr>
            <w:r w:rsidRPr="00BE1669">
              <w:rPr>
                <w:rFonts w:asciiTheme="minorHAnsi" w:hAnsiTheme="minorHAnsi" w:cstheme="minorHAnsi"/>
                <w:color w:val="212121"/>
                <w:sz w:val="16"/>
                <w:szCs w:val="16"/>
              </w:rPr>
              <w:t>*</w:t>
            </w:r>
            <w:r w:rsidR="003800E5" w:rsidRPr="00BE1669">
              <w:rPr>
                <w:rFonts w:asciiTheme="minorHAnsi" w:hAnsiTheme="minorHAnsi" w:cstheme="minorHAnsi"/>
                <w:color w:val="212121"/>
                <w:sz w:val="16"/>
                <w:szCs w:val="16"/>
              </w:rPr>
              <w:t>Bursat nuk mund të dhurohen nëse</w:t>
            </w:r>
            <w:r w:rsidRPr="00BE1669">
              <w:rPr>
                <w:rFonts w:asciiTheme="minorHAnsi" w:hAnsiTheme="minorHAnsi" w:cstheme="minorHAnsi"/>
                <w:color w:val="212121"/>
                <w:sz w:val="16"/>
                <w:szCs w:val="16"/>
              </w:rPr>
              <w:t xml:space="preserve"> kopja origjinale e letrës së pranimit, e nënshkruar dhe vulosur nga </w:t>
            </w:r>
            <w:r w:rsidRPr="00BE1669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Institucioni i Arsimit të Lartë në Slloveni</w:t>
            </w:r>
            <w:r w:rsidRPr="00BE1669">
              <w:rPr>
                <w:rFonts w:asciiTheme="minorHAnsi" w:hAnsiTheme="minorHAnsi" w:cstheme="minorHAnsi"/>
                <w:color w:val="212121"/>
                <w:sz w:val="16"/>
                <w:szCs w:val="16"/>
              </w:rPr>
              <w:t xml:space="preserve">- institucioni i ardhshëm mikpritës, nuk është e bashkangjitur në aplikacion. </w:t>
            </w:r>
          </w:p>
        </w:tc>
      </w:tr>
    </w:tbl>
    <w:p w:rsidR="00BE1669" w:rsidRDefault="00BE1669" w:rsidP="00731EC7">
      <w:pPr>
        <w:rPr>
          <w:b/>
        </w:rPr>
      </w:pPr>
    </w:p>
    <w:p w:rsidR="00BE1669" w:rsidRDefault="00BE1669" w:rsidP="00731EC7">
      <w:pPr>
        <w:rPr>
          <w:b/>
        </w:rPr>
      </w:pPr>
    </w:p>
    <w:p w:rsidR="00731EC7" w:rsidRPr="00B827EE" w:rsidRDefault="00731EC7" w:rsidP="00731EC7">
      <w:pPr>
        <w:rPr>
          <w:b/>
        </w:rPr>
      </w:pPr>
      <w:r w:rsidRPr="00B827EE">
        <w:rPr>
          <w:b/>
        </w:rPr>
        <w:t>INFORMATA PRAKTIKE</w:t>
      </w:r>
    </w:p>
    <w:p w:rsidR="00555DD4" w:rsidRPr="00B827EE" w:rsidRDefault="00555DD4" w:rsidP="00731EC7"/>
    <w:p w:rsidR="00731EC7" w:rsidRPr="00B827EE" w:rsidRDefault="00731EC7" w:rsidP="00731EC7">
      <w:r w:rsidRPr="00B827EE">
        <w:t xml:space="preserve">Bursa do të dhurohet në bazë të vendimit të lëshuar nga Ministri. Aplikantët dhe autoritetet përkatëse do të njoftohen nga CMEPIUS në muajin Maj/ Qershor 2019. </w:t>
      </w:r>
    </w:p>
    <w:p w:rsidR="00555DD4" w:rsidRPr="00B827EE" w:rsidRDefault="00555DD4" w:rsidP="00731EC7"/>
    <w:p w:rsidR="00731EC7" w:rsidRPr="00B827EE" w:rsidRDefault="00731EC7" w:rsidP="00731EC7">
      <w:r w:rsidRPr="00B827EE">
        <w:t>Nuk ka kërkesë ligjore për dhënien e bursës.</w:t>
      </w:r>
    </w:p>
    <w:p w:rsidR="00555DD4" w:rsidRPr="00B827EE" w:rsidRDefault="00555DD4" w:rsidP="00731EC7"/>
    <w:p w:rsidR="00731EC7" w:rsidRPr="00B827EE" w:rsidRDefault="00731EC7" w:rsidP="00731EC7">
      <w:r w:rsidRPr="00B827EE">
        <w:t>Bursa nuk mund ti transferohet një person tjetër.</w:t>
      </w:r>
    </w:p>
    <w:p w:rsidR="00555DD4" w:rsidRPr="00B827EE" w:rsidRDefault="00555DD4" w:rsidP="00731EC7"/>
    <w:p w:rsidR="00731EC7" w:rsidRPr="00B827EE" w:rsidRDefault="00731EC7" w:rsidP="00731EC7">
      <w:r w:rsidRPr="00B827EE">
        <w:t xml:space="preserve">Ndërsa </w:t>
      </w:r>
      <w:r w:rsidR="005D26B3">
        <w:t xml:space="preserve">studenti e ka </w:t>
      </w:r>
      <w:r w:rsidRPr="00B827EE">
        <w:t>këtë bur</w:t>
      </w:r>
      <w:r w:rsidR="005D26B3">
        <w:t xml:space="preserve">së, </w:t>
      </w:r>
      <w:r w:rsidRPr="00B827EE">
        <w:t xml:space="preserve">nuk mund të pranojë bursa </w:t>
      </w:r>
      <w:r w:rsidR="005D26B3">
        <w:t xml:space="preserve">tjera </w:t>
      </w:r>
      <w:r w:rsidRPr="00B827EE">
        <w:t>të sponsorizuara nga Erasmus, CEEPUS apo bursë nga ndonjë Union Evropian tjetër.</w:t>
      </w:r>
    </w:p>
    <w:p w:rsidR="00555DD4" w:rsidRPr="00B827EE" w:rsidRDefault="00555DD4" w:rsidP="00731EC7"/>
    <w:p w:rsidR="00731EC7" w:rsidRPr="00B827EE" w:rsidRDefault="00731EC7" w:rsidP="00731EC7">
      <w:pPr>
        <w:rPr>
          <w:b/>
        </w:rPr>
      </w:pPr>
      <w:r w:rsidRPr="00B827EE">
        <w:rPr>
          <w:b/>
        </w:rPr>
        <w:t xml:space="preserve">Për vitin akademik 2019/2020, bursa përfshinë: </w:t>
      </w:r>
    </w:p>
    <w:p w:rsidR="00555DD4" w:rsidRPr="00B827EE" w:rsidRDefault="00555DD4" w:rsidP="00731EC7"/>
    <w:p w:rsidR="00731EC7" w:rsidRPr="00B827EE" w:rsidRDefault="00731EC7" w:rsidP="00731EC7">
      <w:pPr>
        <w:pStyle w:val="ListParagraph"/>
        <w:numPr>
          <w:ilvl w:val="0"/>
          <w:numId w:val="6"/>
        </w:numPr>
      </w:pPr>
      <w:r w:rsidRPr="00B827EE">
        <w:t xml:space="preserve">300 Euro për muaj- kjo shumë </w:t>
      </w:r>
      <w:r w:rsidRPr="00B827EE">
        <w:rPr>
          <w:u w:val="single"/>
        </w:rPr>
        <w:t>rishikohet dhe përshtatet periodikisht çdo janar</w:t>
      </w:r>
      <w:r w:rsidRPr="00B827EE">
        <w:t>*</w:t>
      </w:r>
    </w:p>
    <w:p w:rsidR="00731EC7" w:rsidRPr="00B827EE" w:rsidRDefault="00731EC7" w:rsidP="00731EC7">
      <w:pPr>
        <w:pStyle w:val="ListParagraph"/>
        <w:numPr>
          <w:ilvl w:val="0"/>
          <w:numId w:val="6"/>
        </w:numPr>
      </w:pPr>
      <w:r w:rsidRPr="00B827EE">
        <w:rPr>
          <w:b/>
        </w:rPr>
        <w:t>Akomodimi falas</w:t>
      </w:r>
      <w:r w:rsidRPr="00B827EE">
        <w:t xml:space="preserve"> në Qendra Studentore (konvikte studentore) të Universiteteve (të paguara nga Ministria drejt</w:t>
      </w:r>
      <w:r w:rsidR="00555DD4" w:rsidRPr="00B827EE">
        <w:t xml:space="preserve"> </w:t>
      </w:r>
      <w:r w:rsidRPr="00B827EE">
        <w:t>për</w:t>
      </w:r>
      <w:r w:rsidR="00555DD4" w:rsidRPr="00B827EE">
        <w:t xml:space="preserve"> </w:t>
      </w:r>
      <w:r w:rsidRPr="00B827EE">
        <w:t>së</w:t>
      </w:r>
      <w:r w:rsidR="00555DD4" w:rsidRPr="00B827EE">
        <w:t xml:space="preserve"> </w:t>
      </w:r>
      <w:r w:rsidRPr="00B827EE">
        <w:t>drejti tek ofruesi)</w:t>
      </w:r>
    </w:p>
    <w:p w:rsidR="00731EC7" w:rsidRPr="00B827EE" w:rsidRDefault="00731EC7" w:rsidP="00731EC7">
      <w:pPr>
        <w:pStyle w:val="ListParagraph"/>
        <w:numPr>
          <w:ilvl w:val="0"/>
          <w:numId w:val="6"/>
        </w:numPr>
      </w:pPr>
      <w:r w:rsidRPr="00B827EE">
        <w:rPr>
          <w:b/>
        </w:rPr>
        <w:t>Sigurime shëndetësore bazike</w:t>
      </w:r>
      <w:r w:rsidR="00A50D5F">
        <w:t xml:space="preserve"> për aplikantët e</w:t>
      </w:r>
      <w:r w:rsidRPr="00B827EE">
        <w:t xml:space="preserve"> shteteve jo anëtare të Bashkimit Europian, </w:t>
      </w:r>
      <w:r w:rsidR="00A50D5F">
        <w:t xml:space="preserve">nëse </w:t>
      </w:r>
      <w:r w:rsidRPr="00B827EE">
        <w:t xml:space="preserve">nuk ekziston një marrëveshje bilaterale sa i përket </w:t>
      </w:r>
      <w:r w:rsidR="00555DD4" w:rsidRPr="00B827EE">
        <w:t xml:space="preserve">sigurimeve shëndetësore në mes të </w:t>
      </w:r>
      <w:r w:rsidRPr="00B827EE">
        <w:t>Sllovenisë dhe vendlindjes së aplikantëve (të paguara nga Ministria drejt</w:t>
      </w:r>
      <w:r w:rsidR="00555DD4" w:rsidRPr="00B827EE">
        <w:t xml:space="preserve"> </w:t>
      </w:r>
      <w:r w:rsidRPr="00B827EE">
        <w:t>për</w:t>
      </w:r>
      <w:r w:rsidR="00555DD4" w:rsidRPr="00B827EE">
        <w:t xml:space="preserve"> </w:t>
      </w:r>
      <w:r w:rsidRPr="00B827EE">
        <w:t>së</w:t>
      </w:r>
      <w:r w:rsidR="00555DD4" w:rsidRPr="00B827EE">
        <w:t xml:space="preserve"> </w:t>
      </w:r>
      <w:r w:rsidRPr="00B827EE">
        <w:t>drejti tek ofruesi)</w:t>
      </w:r>
    </w:p>
    <w:p w:rsidR="00731EC7" w:rsidRPr="00B827EE" w:rsidRDefault="00731EC7" w:rsidP="00731EC7">
      <w:pPr>
        <w:pStyle w:val="ListParagraph"/>
        <w:numPr>
          <w:ilvl w:val="0"/>
          <w:numId w:val="6"/>
        </w:numPr>
      </w:pPr>
      <w:r w:rsidRPr="00B827EE">
        <w:rPr>
          <w:b/>
        </w:rPr>
        <w:t xml:space="preserve">52,50 euro për ushqime të </w:t>
      </w:r>
      <w:r w:rsidRPr="000E41AA">
        <w:rPr>
          <w:b/>
        </w:rPr>
        <w:t>subvencionuara</w:t>
      </w:r>
      <w:r w:rsidRPr="00B827EE">
        <w:rPr>
          <w:b/>
        </w:rPr>
        <w:t xml:space="preserve">  - 2,63 euro për ditë pune</w:t>
      </w:r>
      <w:r w:rsidRPr="00B827EE">
        <w:t xml:space="preserve"> nëpërmjet Organizatës Studentore të Sllovenisë</w:t>
      </w:r>
    </w:p>
    <w:p w:rsidR="00731EC7" w:rsidRPr="00B827EE" w:rsidRDefault="00731EC7" w:rsidP="00731EC7">
      <w:pPr>
        <w:ind w:left="4320"/>
      </w:pPr>
      <w:r w:rsidRPr="00B827EE">
        <w:rPr>
          <w:rFonts w:cstheme="minorHAnsi"/>
        </w:rPr>
        <w:t>**</w:t>
      </w:r>
      <w:r w:rsidRPr="00B827EE">
        <w:t>*</w:t>
      </w:r>
    </w:p>
    <w:p w:rsidR="00731EC7" w:rsidRPr="00B827EE" w:rsidRDefault="00731EC7" w:rsidP="00731EC7">
      <w:pPr>
        <w:ind w:left="4320"/>
        <w:jc w:val="both"/>
      </w:pPr>
    </w:p>
    <w:p w:rsidR="00731EC7" w:rsidRPr="00B827EE" w:rsidRDefault="00731EC7" w:rsidP="00731EC7">
      <w:pPr>
        <w:pStyle w:val="ListParagraph"/>
        <w:numPr>
          <w:ilvl w:val="0"/>
          <w:numId w:val="7"/>
        </w:numPr>
      </w:pPr>
      <w:r w:rsidRPr="00B827EE">
        <w:t xml:space="preserve">Lista e të gjitha </w:t>
      </w:r>
      <w:r w:rsidRPr="00B827EE">
        <w:rPr>
          <w:b/>
        </w:rPr>
        <w:t>Institucioneve të Arsimit të Lartë</w:t>
      </w:r>
      <w:r w:rsidRPr="00B827EE">
        <w:t xml:space="preserve"> të pranuara (të</w:t>
      </w:r>
      <w:r w:rsidR="006F4892">
        <w:t xml:space="preserve"> akredituara) dhe të prgogrameve </w:t>
      </w:r>
      <w:r w:rsidRPr="00B827EE">
        <w:t>të studimit në Republikën e Sllovenisë</w:t>
      </w:r>
      <w:r w:rsidR="006F4892">
        <w:t>, janë të paraqitura</w:t>
      </w:r>
      <w:r w:rsidRPr="00B827EE">
        <w:t xml:space="preserve"> në web faqen e Ministrisë së Republikës së Sllovenisë për Arsim, Shkencë dhe Sport dhe në web faqen e Study in Slovenia (në gjuhën Angleze). </w:t>
      </w:r>
    </w:p>
    <w:p w:rsidR="00731EC7" w:rsidRPr="00B827EE" w:rsidRDefault="00731EC7" w:rsidP="00731EC7">
      <w:pPr>
        <w:pStyle w:val="ListParagraph"/>
        <w:numPr>
          <w:ilvl w:val="0"/>
          <w:numId w:val="7"/>
        </w:numPr>
      </w:pPr>
      <w:r w:rsidRPr="00B827EE">
        <w:t>I gjithë informacioni, formulari i aplikimit dhe letra e pranimit,.. janë të pranishme në web faqen e CMEPIUS.</w:t>
      </w:r>
    </w:p>
    <w:p w:rsidR="00731EC7" w:rsidRPr="00B827EE" w:rsidRDefault="00731EC7" w:rsidP="00731EC7">
      <w:pPr>
        <w:pStyle w:val="ListParagraph"/>
        <w:ind w:left="1440"/>
      </w:pPr>
    </w:p>
    <w:p w:rsidR="00731EC7" w:rsidRPr="00B827EE" w:rsidRDefault="00CA3201" w:rsidP="00731EC7">
      <w:pPr>
        <w:pStyle w:val="ListParagraph"/>
        <w:ind w:left="1440"/>
        <w:rPr>
          <w:b/>
        </w:rPr>
      </w:pPr>
      <w:hyperlink r:id="rId7" w:history="1">
        <w:r w:rsidR="00731EC7" w:rsidRPr="00B827EE">
          <w:rPr>
            <w:rStyle w:val="Hyperlink"/>
            <w:b/>
          </w:rPr>
          <w:t>https://eng.cmepius.si/students/bilateral-scholarships/</w:t>
        </w:r>
      </w:hyperlink>
    </w:p>
    <w:p w:rsidR="00731EC7" w:rsidRPr="00B827EE" w:rsidRDefault="00731EC7" w:rsidP="00731EC7">
      <w:pPr>
        <w:pStyle w:val="ListParagraph"/>
        <w:ind w:left="1440"/>
      </w:pPr>
    </w:p>
    <w:p w:rsidR="00731EC7" w:rsidRPr="00B827EE" w:rsidRDefault="00731EC7" w:rsidP="00731EC7">
      <w:pPr>
        <w:pStyle w:val="ListParagraph"/>
        <w:numPr>
          <w:ilvl w:val="0"/>
          <w:numId w:val="8"/>
        </w:numPr>
        <w:jc w:val="both"/>
      </w:pPr>
      <w:r w:rsidRPr="00B827EE">
        <w:t xml:space="preserve">Për informata shtesë, dërgoni email tek: </w:t>
      </w:r>
      <w:hyperlink r:id="rId8" w:history="1">
        <w:r w:rsidRPr="00B827EE">
          <w:rPr>
            <w:rStyle w:val="Hyperlink"/>
          </w:rPr>
          <w:t>scholarships@mcepius.si</w:t>
        </w:r>
      </w:hyperlink>
      <w:r w:rsidRPr="00B827EE">
        <w:t xml:space="preserve"> </w:t>
      </w:r>
    </w:p>
    <w:p w:rsidR="00731EC7" w:rsidRPr="00B827EE" w:rsidRDefault="00731EC7" w:rsidP="00731EC7">
      <w:pPr>
        <w:jc w:val="center"/>
      </w:pPr>
    </w:p>
    <w:p w:rsidR="00731EC7" w:rsidRPr="00B827EE" w:rsidRDefault="00731EC7" w:rsidP="00731EC7">
      <w:pPr>
        <w:jc w:val="center"/>
      </w:pPr>
      <w:r w:rsidRPr="00B827EE">
        <w:t>www.study inslovenia.si</w:t>
      </w:r>
    </w:p>
    <w:p w:rsidR="00731EC7" w:rsidRPr="00B827EE" w:rsidRDefault="00731EC7" w:rsidP="00D64B76">
      <w:pPr>
        <w:rPr>
          <w:rFonts w:asciiTheme="minorHAnsi" w:hAnsiTheme="minorHAnsi" w:cstheme="minorHAnsi"/>
        </w:rPr>
      </w:pPr>
    </w:p>
    <w:sectPr w:rsidR="00731EC7" w:rsidRPr="00B8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D2DED"/>
    <w:multiLevelType w:val="hybridMultilevel"/>
    <w:tmpl w:val="2DE4F3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2213"/>
    <w:multiLevelType w:val="hybridMultilevel"/>
    <w:tmpl w:val="FB42C8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90A77"/>
    <w:multiLevelType w:val="hybridMultilevel"/>
    <w:tmpl w:val="B51EE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96463"/>
    <w:multiLevelType w:val="hybridMultilevel"/>
    <w:tmpl w:val="DD98B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F29F7"/>
    <w:multiLevelType w:val="hybridMultilevel"/>
    <w:tmpl w:val="5C581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A01E3"/>
    <w:multiLevelType w:val="hybridMultilevel"/>
    <w:tmpl w:val="B51EE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73CFA"/>
    <w:multiLevelType w:val="hybridMultilevel"/>
    <w:tmpl w:val="792E7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428BA"/>
    <w:multiLevelType w:val="hybridMultilevel"/>
    <w:tmpl w:val="5058A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EE"/>
    <w:rsid w:val="000710AA"/>
    <w:rsid w:val="00087A51"/>
    <w:rsid w:val="000A7AFE"/>
    <w:rsid w:val="000D6A20"/>
    <w:rsid w:val="000E39B5"/>
    <w:rsid w:val="000E41AA"/>
    <w:rsid w:val="00155FBE"/>
    <w:rsid w:val="00182BA5"/>
    <w:rsid w:val="00213029"/>
    <w:rsid w:val="0024304B"/>
    <w:rsid w:val="00250AC9"/>
    <w:rsid w:val="00277280"/>
    <w:rsid w:val="00286233"/>
    <w:rsid w:val="002869E0"/>
    <w:rsid w:val="00286F1C"/>
    <w:rsid w:val="002B5A9A"/>
    <w:rsid w:val="002C5580"/>
    <w:rsid w:val="003151FF"/>
    <w:rsid w:val="00320681"/>
    <w:rsid w:val="003220AF"/>
    <w:rsid w:val="003223A2"/>
    <w:rsid w:val="003621F1"/>
    <w:rsid w:val="003800E5"/>
    <w:rsid w:val="003B5EA2"/>
    <w:rsid w:val="003D08C2"/>
    <w:rsid w:val="003E0C79"/>
    <w:rsid w:val="003F0440"/>
    <w:rsid w:val="00414085"/>
    <w:rsid w:val="0043673C"/>
    <w:rsid w:val="004872BC"/>
    <w:rsid w:val="004B5512"/>
    <w:rsid w:val="004C4813"/>
    <w:rsid w:val="004D14B0"/>
    <w:rsid w:val="0052458E"/>
    <w:rsid w:val="00555DD4"/>
    <w:rsid w:val="0055651C"/>
    <w:rsid w:val="005835D5"/>
    <w:rsid w:val="00585E61"/>
    <w:rsid w:val="005D26B3"/>
    <w:rsid w:val="0060378A"/>
    <w:rsid w:val="00660C11"/>
    <w:rsid w:val="006A0CCB"/>
    <w:rsid w:val="006C6317"/>
    <w:rsid w:val="006E190D"/>
    <w:rsid w:val="006E5C7F"/>
    <w:rsid w:val="006F4892"/>
    <w:rsid w:val="006F57B5"/>
    <w:rsid w:val="00731EC7"/>
    <w:rsid w:val="007416AB"/>
    <w:rsid w:val="007A5790"/>
    <w:rsid w:val="007C7DAA"/>
    <w:rsid w:val="007D7EE1"/>
    <w:rsid w:val="007F4AEE"/>
    <w:rsid w:val="00813F45"/>
    <w:rsid w:val="008319B7"/>
    <w:rsid w:val="00847DDB"/>
    <w:rsid w:val="008524F6"/>
    <w:rsid w:val="0085415D"/>
    <w:rsid w:val="008E4081"/>
    <w:rsid w:val="009344BE"/>
    <w:rsid w:val="00943536"/>
    <w:rsid w:val="0094605B"/>
    <w:rsid w:val="00984A92"/>
    <w:rsid w:val="009909DF"/>
    <w:rsid w:val="009A4F0F"/>
    <w:rsid w:val="00A05CCF"/>
    <w:rsid w:val="00A50D5F"/>
    <w:rsid w:val="00A96763"/>
    <w:rsid w:val="00AB23FE"/>
    <w:rsid w:val="00B405CF"/>
    <w:rsid w:val="00B4536E"/>
    <w:rsid w:val="00B74213"/>
    <w:rsid w:val="00B827EE"/>
    <w:rsid w:val="00B83588"/>
    <w:rsid w:val="00BB47F2"/>
    <w:rsid w:val="00BC003F"/>
    <w:rsid w:val="00BE1669"/>
    <w:rsid w:val="00BF27C3"/>
    <w:rsid w:val="00BF68E4"/>
    <w:rsid w:val="00C142EF"/>
    <w:rsid w:val="00C36E89"/>
    <w:rsid w:val="00C408FF"/>
    <w:rsid w:val="00C65F18"/>
    <w:rsid w:val="00C71938"/>
    <w:rsid w:val="00C83812"/>
    <w:rsid w:val="00C841DD"/>
    <w:rsid w:val="00C93A92"/>
    <w:rsid w:val="00CA3201"/>
    <w:rsid w:val="00CE1685"/>
    <w:rsid w:val="00CF3B86"/>
    <w:rsid w:val="00D019B1"/>
    <w:rsid w:val="00D16177"/>
    <w:rsid w:val="00D41AC2"/>
    <w:rsid w:val="00D4734B"/>
    <w:rsid w:val="00D64B76"/>
    <w:rsid w:val="00D83374"/>
    <w:rsid w:val="00D8772C"/>
    <w:rsid w:val="00E0127D"/>
    <w:rsid w:val="00E240ED"/>
    <w:rsid w:val="00E528CE"/>
    <w:rsid w:val="00E5658B"/>
    <w:rsid w:val="00E865BB"/>
    <w:rsid w:val="00EA713F"/>
    <w:rsid w:val="00EB3E25"/>
    <w:rsid w:val="00F362FB"/>
    <w:rsid w:val="00F7713B"/>
    <w:rsid w:val="00F80808"/>
    <w:rsid w:val="00FA05D2"/>
    <w:rsid w:val="00FA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F5BEA-D9D4-4FA6-A4D3-2759A6B8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085"/>
    <w:pPr>
      <w:spacing w:after="0" w:line="240" w:lineRule="auto"/>
    </w:pPr>
    <w:rPr>
      <w:rFonts w:ascii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AEE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0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14085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E0C79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0C79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3B5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660C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60C1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mcepius.si" TargetMode="External"/><Relationship Id="rId3" Type="http://schemas.openxmlformats.org/officeDocument/2006/relationships/styles" Target="styles.xml"/><Relationship Id="rId7" Type="http://schemas.openxmlformats.org/officeDocument/2006/relationships/hyperlink" Target="https://eng.cmepius.si/students/bilateral-scholarship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ng.cmepius.s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38927-BD02-4849-AE1C-B3A5C32A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Vlore Tosuni</dc:creator>
  <cp:keywords/>
  <dc:description/>
  <cp:lastModifiedBy>Jehona Bajraktari</cp:lastModifiedBy>
  <cp:revision>2</cp:revision>
  <cp:lastPrinted>2019-04-17T08:08:00Z</cp:lastPrinted>
  <dcterms:created xsi:type="dcterms:W3CDTF">2019-04-26T12:16:00Z</dcterms:created>
  <dcterms:modified xsi:type="dcterms:W3CDTF">2019-04-26T12:16:00Z</dcterms:modified>
</cp:coreProperties>
</file>